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keepNext w:val="0"/>
        <w:keepLines w:val="0"/>
        <w:widowControl/>
        <w:suppressLineNumbers w:val="0"/>
        <w:jc w:val="left"/>
        <w:textAlignment w:val="bottom"/>
        <w:rPr>
          <w:rFonts w:ascii="黑体" w:eastAsia="黑体" w:cs="黑体" w:hAnsi="黑体" w:hint="eastAsia"/>
          <w:i w:val="0"/>
          <w:color w:val="000000"/>
          <w:kern w:val="0"/>
          <w:sz w:val="28"/>
          <w:szCs w:val="28"/>
          <w:u w:val="none"/>
          <w:lang w:val="en-US" w:eastAsia="zh-CN"/>
        </w:rPr>
      </w:pPr>
      <w:r>
        <w:rPr>
          <w:rFonts w:ascii="黑体" w:eastAsia="黑体" w:cs="黑体" w:hAnsi="黑体" w:hint="eastAsia"/>
          <w:i w:val="0"/>
          <w:color w:val="000000"/>
          <w:kern w:val="0"/>
          <w:sz w:val="28"/>
          <w:szCs w:val="28"/>
          <w:u w:val="none"/>
          <w:lang w:val="en-US" w:eastAsia="zh-CN"/>
        </w:rPr>
        <w:t>附件2-1</w:t>
      </w:r>
    </w:p>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bottom"/>
        <w:rPr>
          <w:rFonts w:ascii="宋体" w:eastAsia="宋体" w:cs="宋体" w:hAnsi="宋体"/>
          <w:i w:val="0"/>
          <w:color w:val="000000"/>
          <w:w w:val="100"/>
          <w:kern w:val="0"/>
          <w:sz w:val="28"/>
          <w:szCs w:val="28"/>
          <w:u w:val="none"/>
          <w:lang w:eastAsia="zh-CN"/>
        </w:rPr>
      </w:pPr>
      <w:r>
        <w:rPr>
          <w:rFonts w:ascii="华文中宋" w:eastAsia="华文中宋" w:cs="华文中宋" w:hAnsi="华文中宋" w:hint="eastAsia"/>
          <w:b/>
          <w:i w:val="0"/>
          <w:color w:val="000000"/>
          <w:w w:val="100"/>
          <w:kern w:val="0"/>
          <w:sz w:val="36"/>
          <w:szCs w:val="36"/>
          <w:u w:val="none"/>
          <w:lang w:val="en-US" w:eastAsia="zh-CN"/>
        </w:rPr>
        <w:t>202</w:t>
      </w:r>
      <w:r>
        <w:rPr>
          <w:rFonts w:ascii="华文中宋" w:eastAsia="华文中宋" w:cs="华文中宋" w:hAnsi="华文中宋"/>
          <w:b/>
          <w:i w:val="0"/>
          <w:color w:val="000000"/>
          <w:w w:val="100"/>
          <w:kern w:val="0"/>
          <w:sz w:val="36"/>
          <w:szCs w:val="36"/>
          <w:u w:val="none"/>
          <w:lang w:eastAsia="zh-CN"/>
        </w:rPr>
        <w:t>4</w:t>
      </w:r>
      <w:r>
        <w:rPr>
          <w:rFonts w:ascii="华文中宋" w:eastAsia="华文中宋" w:cs="华文中宋" w:hAnsi="华文中宋" w:hint="eastAsia"/>
          <w:b/>
          <w:i w:val="0"/>
          <w:color w:val="000000"/>
          <w:w w:val="100"/>
          <w:kern w:val="0"/>
          <w:sz w:val="36"/>
          <w:szCs w:val="36"/>
          <w:u w:val="none"/>
          <w:lang w:val="en-US" w:eastAsia="zh-CN"/>
        </w:rPr>
        <w:t>年度省自然科学基金会议评审杰出青年项目</w:t>
      </w:r>
      <w:r>
        <w:rPr>
          <w:rFonts w:ascii="华文中宋" w:eastAsia="华文中宋" w:cs="华文中宋" w:hAnsi="华文中宋"/>
          <w:b/>
          <w:i w:val="0"/>
          <w:color w:val="000000"/>
          <w:w w:val="100"/>
          <w:kern w:val="0"/>
          <w:sz w:val="36"/>
          <w:szCs w:val="36"/>
          <w:u w:val="none"/>
          <w:lang w:eastAsia="zh-CN"/>
        </w:rPr>
        <w:t>名单</w:t>
      </w:r>
    </w:p>
    <w:tbl>
      <w:tblPr>
        <w:jc w:val="left"/>
        <w:tblInd w:w="0" w:type="dxa"/>
        <w:tblW w:w="10056" w:type="dxa"/>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
      <w:tblGrid>
        <w:gridCol w:w="749"/>
        <w:gridCol w:w="5277"/>
        <w:gridCol w:w="943"/>
        <w:gridCol w:w="3087"/>
      </w:tblGrid>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b w:val="0"/>
                <w:bCs/>
                <w:i w:val="0"/>
                <w:color w:val="000000"/>
                <w:sz w:val="24"/>
                <w:szCs w:val="24"/>
                <w:u w:val="none"/>
              </w:rPr>
            </w:pPr>
            <w:r>
              <w:rPr>
                <w:rFonts w:ascii="黑体" w:eastAsia="黑体" w:cs="黑体" w:hAnsi="宋体" w:hint="eastAsia"/>
                <w:b w:val="0"/>
                <w:bCs/>
                <w:i w:val="0"/>
                <w:color w:val="000000"/>
                <w:kern w:val="0"/>
                <w:sz w:val="24"/>
                <w:szCs w:val="24"/>
                <w:u w:val="none"/>
                <w:lang w:val="en-US" w:eastAsia="zh-CN"/>
              </w:rPr>
              <w:t>序号</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hint="eastAsia"/>
                <w:b w:val="0"/>
                <w:bCs/>
                <w:i w:val="0"/>
                <w:color w:val="000000"/>
                <w:sz w:val="22"/>
                <w:szCs w:val="22"/>
                <w:u w:val="none"/>
              </w:rPr>
            </w:pPr>
            <w:r>
              <w:rPr>
                <w:rFonts w:ascii="黑体" w:eastAsia="黑体" w:cs="黑体" w:hAnsi="宋体" w:hint="eastAsia"/>
                <w:b w:val="0"/>
                <w:bCs/>
                <w:i w:val="0"/>
                <w:color w:val="000000"/>
                <w:kern w:val="0"/>
                <w:sz w:val="22"/>
                <w:szCs w:val="22"/>
                <w:u w:val="none"/>
                <w:lang w:val="en-US" w:eastAsia="zh-CN"/>
              </w:rPr>
              <w:t>项目名称</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hint="eastAsia"/>
                <w:b w:val="0"/>
                <w:bCs/>
                <w:i w:val="0"/>
                <w:color w:val="000000"/>
                <w:sz w:val="22"/>
                <w:szCs w:val="22"/>
                <w:u w:val="none"/>
              </w:rPr>
            </w:pPr>
            <w:r>
              <w:rPr>
                <w:rFonts w:ascii="黑体" w:eastAsia="黑体" w:cs="黑体" w:hAnsi="宋体"/>
                <w:b w:val="0"/>
                <w:bCs/>
                <w:i w:val="0"/>
                <w:color w:val="000000"/>
                <w:kern w:val="0"/>
                <w:sz w:val="22"/>
                <w:szCs w:val="22"/>
                <w:u w:val="none"/>
                <w:lang w:eastAsia="zh-CN"/>
              </w:rPr>
              <w:t>申报人</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hint="eastAsia"/>
                <w:b w:val="0"/>
                <w:bCs/>
                <w:i w:val="0"/>
                <w:color w:val="000000"/>
                <w:sz w:val="22"/>
                <w:szCs w:val="22"/>
                <w:u w:val="none"/>
              </w:rPr>
            </w:pPr>
            <w:r>
              <w:rPr>
                <w:rFonts w:ascii="黑体" w:eastAsia="黑体" w:cs="黑体" w:hAnsi="宋体"/>
                <w:b w:val="0"/>
                <w:bCs/>
                <w:i w:val="0"/>
                <w:color w:val="000000"/>
                <w:kern w:val="0"/>
                <w:sz w:val="22"/>
                <w:szCs w:val="22"/>
                <w:u w:val="none"/>
                <w:lang w:val="en-US" w:eastAsia="zh-CN"/>
              </w:rPr>
              <w:t>申报</w:t>
            </w:r>
            <w:r>
              <w:rPr>
                <w:rFonts w:ascii="黑体" w:eastAsia="黑体" w:cs="黑体" w:hAnsi="宋体" w:hint="eastAsia"/>
                <w:b w:val="0"/>
                <w:bCs/>
                <w:i w:val="0"/>
                <w:color w:val="000000"/>
                <w:kern w:val="0"/>
                <w:sz w:val="22"/>
                <w:szCs w:val="22"/>
                <w:u w:val="none"/>
                <w:lang w:val="en-US" w:eastAsia="zh-CN"/>
              </w:rPr>
              <w:t>单位</w:t>
            </w:r>
          </w:p>
        </w:tc>
      </w:tr>
      <w:tr>
        <w:trPr>
          <w:trHeight w:val="76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榛实象产卵忌避的化学感受机制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马晓乾</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黑龙江省森林保护研究所</w:t>
            </w:r>
          </w:p>
        </w:tc>
      </w:tr>
      <w:tr>
        <w:trPr>
          <w:trHeight w:val="7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铝基尖晶石氧化物薄膜异质结光电器件的研究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王先杰</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74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3</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高温超导氢笼合物中的缺陷与非谐效应</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王晖</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哈尔滨师范大学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4</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燃煤发电机组超灵活运行服役安全关键技术研究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王硕</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哈尔滨锅炉厂有限责任公司</w:t>
            </w:r>
          </w:p>
        </w:tc>
      </w:tr>
      <w:tr>
        <w:trPr>
          <w:trHeight w:val="64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5</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黑土微生物资源定向挖掘、简化菌群装配与调控机制研究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王爽</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黑龙江省黑土保护利用研究院</w:t>
            </w:r>
          </w:p>
        </w:tc>
      </w:tr>
      <w:tr>
        <w:trPr>
          <w:trHeight w:val="96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6</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气液两相泵喷推进器跨速高效运转机理研究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王超</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哈尔滨工程大学</w:t>
            </w:r>
          </w:p>
        </w:tc>
      </w:tr>
      <w:tr>
        <w:trPr>
          <w:trHeight w:val="6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7</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基于生物信息学及电化学检测的AD早期筛查和多联检测平台的建立</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孔庆飞</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黑龙江省医学科学院</w:t>
            </w:r>
          </w:p>
        </w:tc>
      </w:tr>
      <w:tr>
        <w:trPr>
          <w:trHeight w:val="48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8</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新型抗流感病毒策略研究—NP纳米抗体PROTAC设计及应用</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孔晖晖</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中国农业科学院哈尔滨兽医研究所</w:t>
            </w:r>
          </w:p>
        </w:tc>
      </w:tr>
      <w:tr>
        <w:trPr>
          <w:trHeight w:val="8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9</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基于新型正极材料的固态钠电池性能演变机制及界面调控</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左朋建</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68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10</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古龙页岩层系细粒沉积特征及有机质富集机理研究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付秀丽</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大庆油田有限责任公司</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11</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数据跨境合规检测与隐私保护技术</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曲家兴</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黑龙江省网络空间研究中心</w:t>
            </w:r>
          </w:p>
        </w:tc>
      </w:tr>
      <w:tr>
        <w:trPr>
          <w:trHeight w:val="74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12</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支持月面建造用月壤制品光热熔融3-D打印成型制造研究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乔国富</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13</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低温秸秆高值生物能源转化“氢-烷-油”技术</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刘冰峰</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66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14</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4D自诱导SMPA-HD微创支架椎间成骨的作用及机制研究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刘晓奇</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黑龙江拓盟科技股份有限公司</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15</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高性能大型航空精密人字齿轮形性协同制造关键技术研究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孙浩</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中国航发哈尔滨东安发动机有限公司</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16</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PRMT3调控心力衰竭的分子机制及靶点干预研究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杜伟杰</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w:t>
            </w:r>
          </w:p>
        </w:tc>
      </w:tr>
      <w:tr>
        <w:trPr>
          <w:trHeight w:val="84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17</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恶性肿瘤免疫调控模式挖掘理论与方法研究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李永生</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w:t>
            </w:r>
          </w:p>
        </w:tc>
      </w:tr>
      <w:tr>
        <w:trPr>
          <w:trHeight w:val="96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18</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原油罐群光-燃-储多能协同维温系统能流输运机制研究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李栋</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东北石油大学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19</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人兽共患肠道原虫适应性寄生机制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李巍</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6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20</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寒冷温度表观遗传调控猪绒毛生长发育研究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何鑫淼</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黑龙江省农业科学院畜牧研究所</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21</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玉米秸秆还田下黑土碳氮转化定向调控机制解析与应用</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邹文秀</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中国科学院东北地理与农业生态研究所农业技术中心</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22</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谷胱甘肽逆转产MCR-1大肠杆菌对多粘菌素耐药的分子机制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张万江</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中国农业科学院哈尔滨兽医研究所</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23</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烟道气CO2合成尿素催化体系的构筑与调控机制研究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张凤鸣</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哈尔滨理工大学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24</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寒地蓝靛果花色苷调控乳液凝胶体系结构与功能研究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张妍</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黑龙江省绿色食品科学研究院</w:t>
            </w:r>
            <w:bookmarkStart w:id="0" w:name="_GoBack"/>
            <w:bookmarkEnd w:id="0"/>
          </w:p>
        </w:tc>
      </w:tr>
      <w:tr>
        <w:trPr>
          <w:trHeight w:val="66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25</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新型吸附储氢技术及装备的研发</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张明宝</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哈尔滨锅炉厂有限责任公司</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26</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瓦斯水合固化强化方法及机制研究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张保勇</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黑龙江科技大学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27</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面向大尺寸超低缺陷导电型碳化硅衬底制备机理研究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张胜涛</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哈尔滨科友半导体产业装备与技术研究院有限公司</w:t>
            </w:r>
          </w:p>
        </w:tc>
      </w:tr>
      <w:tr>
        <w:trPr>
          <w:trHeight w:val="76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28</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典型加工过程中黑米食品分子基础的演替规律及品质稳态化调控机制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张娜</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哈尔滨商业大学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2"/>
                <w:szCs w:val="22"/>
                <w:u w:val="none"/>
              </w:rPr>
            </w:pPr>
            <w:r>
              <w:rPr>
                <w:rFonts w:ascii="宋体" w:eastAsia="宋体" w:cs="宋体" w:hAnsi="宋体" w:hint="eastAsia"/>
                <w:i w:val="0"/>
                <w:color w:val="000000"/>
                <w:kern w:val="0"/>
                <w:sz w:val="22"/>
                <w:szCs w:val="22"/>
                <w:u w:val="none"/>
                <w:lang w:val="en-US" w:eastAsia="zh-CN"/>
              </w:rPr>
              <w:t>29</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寒地心力衰竭的分子靶点研究和新药创制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张莹</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30</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显微手术机器人基础理论与应用</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张赫</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31</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面向性能需求的航空航天叶片类零件自适应加工研究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岳彩旭</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哈尔滨理工大学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32</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大豆光周期基因调控开花时间和适应性的分子机制解析及育种利用</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赵琳</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33</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声学覆盖层内嵌矢量水听器探测基础问题研究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胡博</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哈尔滨工程大学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34</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二氧化碳开采陆相页岩油相态变化机理与评价</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柏明星</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东北石油大学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35</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大型水轮发电机定子线棒内部两相流换热机理研究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秦光宇</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哈尔滨大电机研究所有限公司</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36</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复合营力与人为影响的侵蚀沟发育预测预警</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秦伟</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黑龙江省水利科学研究院</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37</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低环温空气源热泵供暖系统热输运规律研究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倪龙</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38</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非洲猪瘟病毒感染诱导机体炎性损伤的分子机制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黄丽</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中国农业科学院哈尔滨兽医研究所</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39</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GDF15通过免疫微环境调控脓毒症心肌病的作用机制与转化研究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韩艺</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黑龙江省医学科学院</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40</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外源碳输入对瘠薄黑土地力提升及固碳减排机制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程魁</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41</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陆海一体长周期地震动模拟预测与实时减灾技术</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谢志南</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中国地震局工程力学研究所</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42</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O3型层状高熵氧化物正极材料的理论设计、组分调控及其储钠机制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谢颖</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黑龙江大学</w:t>
            </w:r>
          </w:p>
        </w:tc>
      </w:tr>
      <w:tr>
        <w:trPr>
          <w:trHeight w:val="72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i w:val="0"/>
                <w:color w:val="000000"/>
                <w:kern w:val="0"/>
                <w:sz w:val="22"/>
                <w:szCs w:val="22"/>
                <w:u w:val="none"/>
                <w:lang w:eastAsia="zh-CN"/>
              </w:rPr>
            </w:pPr>
            <w:r>
              <w:rPr>
                <w:rFonts w:ascii="宋体" w:eastAsia="宋体" w:cs="宋体" w:hAnsi="宋体"/>
                <w:i w:val="0"/>
                <w:color w:val="000000"/>
                <w:kern w:val="0"/>
                <w:sz w:val="22"/>
                <w:szCs w:val="22"/>
                <w:u w:val="none"/>
                <w:lang w:eastAsia="zh-CN"/>
              </w:rPr>
              <w:t>43</w:t>
            </w:r>
          </w:p>
        </w:tc>
        <w:tc>
          <w:tcPr>
            <w:tcW w:w="52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脑胶质瘤中UGDH调控肿瘤干细胞干性维持的机制研究</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蔡金全</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哈尔滨医科大学附属第二医院</w:t>
            </w:r>
          </w:p>
        </w:tc>
      </w:tr>
    </w:tbl>
    <w:p>
      <w:r>
        <w:rPr>
          <w:rFonts w:ascii="宋体" w:eastAsia="宋体" w:cs="宋体" w:hAnsi="宋体" w:hint="eastAsia"/>
          <w:i w:val="0"/>
          <w:color w:val="000000"/>
          <w:kern w:val="0"/>
          <w:sz w:val="24"/>
          <w:szCs w:val="24"/>
          <w:u w:val="none"/>
          <w:lang w:val="en-US" w:eastAsia="zh-CN"/>
        </w:rPr>
        <w:t>注：按</w:t>
      </w:r>
      <w:r>
        <w:rPr>
          <w:rFonts w:ascii="宋体" w:eastAsia="宋体" w:cs="宋体" w:hAnsi="宋体"/>
          <w:i w:val="0"/>
          <w:color w:val="000000"/>
          <w:kern w:val="0"/>
          <w:sz w:val="24"/>
          <w:szCs w:val="24"/>
          <w:u w:val="none"/>
          <w:lang w:val="en-US" w:eastAsia="zh-CN"/>
        </w:rPr>
        <w:t>申报人</w:t>
      </w:r>
      <w:r>
        <w:rPr>
          <w:rFonts w:ascii="宋体" w:eastAsia="宋体" w:cs="宋体" w:hAnsi="宋体" w:hint="eastAsia"/>
          <w:i w:val="0"/>
          <w:color w:val="000000"/>
          <w:kern w:val="0"/>
          <w:sz w:val="24"/>
          <w:szCs w:val="24"/>
          <w:u w:val="none"/>
          <w:lang w:val="en-US" w:eastAsia="zh-CN"/>
        </w:rPr>
        <w:t>姓氏笔</w:t>
      </w:r>
      <w:r>
        <w:rPr>
          <w:rFonts w:ascii="宋体" w:eastAsia="宋体" w:cs="宋体" w:hAnsi="宋体"/>
          <w:i w:val="0"/>
          <w:color w:val="000000"/>
          <w:kern w:val="0"/>
          <w:sz w:val="24"/>
          <w:szCs w:val="24"/>
          <w:u w:val="none"/>
          <w:lang w:eastAsia="zh-CN"/>
        </w:rPr>
        <w:t>画</w:t>
      </w:r>
      <w:r>
        <w:rPr>
          <w:rFonts w:ascii="宋体" w:eastAsia="宋体" w:cs="宋体" w:hAnsi="宋体" w:hint="eastAsia"/>
          <w:i w:val="0"/>
          <w:color w:val="000000"/>
          <w:kern w:val="0"/>
          <w:sz w:val="24"/>
          <w:szCs w:val="24"/>
          <w:u w:val="none"/>
          <w:lang w:val="en-US" w:eastAsia="zh-CN"/>
        </w:rPr>
        <w:t>排序。</w:t>
      </w:r>
    </w:p>
    <w:sectPr>
      <w:pgSz w:w="11906" w:h="16838"/>
      <w:pgMar w:top="1134" w:right="1020" w:bottom="1020" w:left="1134" w:header="851" w:footer="992" w:gutter="0"/>
      <w:rtlGutter/>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华文中宋">
    <w:altName w:val="方正书宋_GBK"/>
    <w:panose1 w:val="02010600040101010101"/>
    <w:charset w:val="86"/>
    <w:family w:val="auto"/>
    <w:pitch w:val="variable"/>
    <w:sig w:usb0="00000000" w:usb1="00000000" w:usb2="00000000" w:usb3="00000000" w:csb0="0004009F" w:csb1="DFD70000"/>
  </w:font>
  <w:font w:name="宋体">
    <w:altName w:val="方正书宋_GBK"/>
    <w:panose1 w:val="00000000000000000000"/>
    <w:charset w:val="86"/>
    <w:family w:val="auto"/>
    <w:pitch w:val="variable"/>
    <w:sig w:usb0="00000000" w:usb1="00000000" w:usb2="00000000" w:usb3="00000000" w:csb0="00000000" w:csb1="00000000"/>
  </w:font>
  <w:font w:name="Times New Roman">
    <w:altName w:val="DejaVu Sans"/>
    <w:panose1 w:val="02020603050405020304"/>
    <w:charset w:val="00"/>
    <w:family w:val="roman"/>
    <w:pitch w:val="variable"/>
    <w:sig w:usb0="20007A87" w:usb1="80000000" w:usb2="00000008" w:usb3="00000000" w:csb0="000001FF" w:csb1="00000000"/>
  </w:font>
  <w:font w:name="Lucida Sans">
    <w:altName w:val="DejaVu Sans"/>
    <w:panose1 w:val="020B0602030504020204"/>
    <w:charset w:val="00"/>
    <w:family w:val="auto"/>
    <w:pitch w:val="variable"/>
    <w:sig w:usb0="00000003" w:usb1="00000000" w:usb2="00000000" w:usb3="00000000" w:csb0="20000001" w:csb1="00000000"/>
  </w:font>
  <w:font w:name="Calibri">
    <w:altName w:val="DejaVu Sans"/>
    <w:panose1 w:val="020F0502020204030204"/>
    <w:charset w:val="00"/>
    <w:family w:val="swiss"/>
    <w:pitch w:val="variable"/>
    <w:sig w:usb0="00000000" w:usb1="00000000" w:usb2="00000001" w:usb3="00000000" w:csb0="0000019F" w:csb1="00000000"/>
  </w:font>
  <w:font w:name="Arial">
    <w:altName w:val="DejaVu Sans"/>
    <w:panose1 w:val="020B0604020202020204"/>
    <w:charset w:val="01"/>
    <w:family w:val="swiss"/>
    <w:pitch w:val="variable"/>
    <w:sig w:usb0="E0002AFF" w:usb1="C0007843" w:usb2="00000009" w:usb3="00000000" w:csb0="400001FF" w:csb1="FFFF0000"/>
  </w:font>
  <w:font w:name="方正兰亭黑_GBK">
    <w:panose1 w:val="02000000000000000000"/>
    <w:charset w:val="86"/>
    <w:family w:val="script"/>
    <w:pitch w:val="variable"/>
    <w:sig w:usb0="A00002BF" w:usb1="3ACF7CFA" w:usb2="00080016" w:usb3="00000000" w:csb0="00040001" w:csb1="00000000"/>
  </w:font>
  <w:font w:name="方正书宋_GBK">
    <w:panose1 w:val="02000000000000000000"/>
    <w:charset w:val="86"/>
    <w:family w:val="auto"/>
    <w:pitch w:val="variable"/>
    <w:sig w:usb0="00000001" w:usb1="08000000" w:usb2="00000000" w:usb3="00000000" w:csb0="0004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jc w:val="both"/>
    </w:pPr>
    <w:rPr>
      <w:rFonts w:ascii="Calibri" w:eastAsia="宋体" w:cs="Arial" w:hAnsi="Times New Roman"/>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方正兰亭黑_GBK" w:eastAsia="黑体" w:hAnsi="方正兰亭黑_GBK"/>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character" w:customStyle="1" w:styleId="15">
    <w:name w:val="font81"/>
    <w:basedOn w:val="10"/>
    <w:rPr>
      <w:rFonts w:ascii="宋体" w:eastAsia="宋体" w:cs="宋体" w:hAnsi="宋体"/>
      <w:color w:val="000000"/>
      <w:sz w:val="24"/>
      <w:szCs w:val="24"/>
      <w:u w:val="none"/>
    </w:rPr>
  </w:style>
  <w:style w:type="character" w:customStyle="1" w:styleId="16">
    <w:name w:val="font61"/>
    <w:basedOn w:val="10"/>
    <w:rPr>
      <w:rFonts w:ascii="Arial" w:cs="Arial" w:hAnsi="Arial"/>
      <w:color w:val="000000"/>
      <w:sz w:val="24"/>
      <w:szCs w:val="24"/>
      <w:u w:val="none"/>
    </w:rPr>
  </w:style>
  <w:style w:type="character" w:customStyle="1" w:styleId="17">
    <w:name w:val="font01"/>
    <w:basedOn w:val="10"/>
    <w:rPr>
      <w:rFonts w:ascii="Arial" w:cs="Arial" w:hAnsi="Arial"/>
      <w:color w:val="000000"/>
      <w:sz w:val="24"/>
      <w:szCs w:val="24"/>
      <w:u w:val="none"/>
    </w:rPr>
  </w:style>
  <w:style w:type="character" w:customStyle="1" w:styleId="18">
    <w:name w:val="font11"/>
    <w:basedOn w:val="10"/>
    <w:rPr>
      <w:rFonts w:ascii="方正书宋_GBK" w:eastAsia="方正书宋_GBK" w:cs="方正书宋_GBK" w:hAnsi="方正书宋_GBK"/>
      <w:color w:val="000000"/>
      <w:sz w:val="24"/>
      <w:szCs w:val="24"/>
      <w:u w:val="no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3 5 12 0 0 1 0 0 0 3000 0 1 1 1 1"/>
    <sectPr/>
  </customProps>
</customData>
</file>

<file path=customXml/itemProps1.xml><?xml version="1.0" encoding="utf-8"?>
<ds:datastoreItem xmlns:ds="http://schemas.openxmlformats.org/officeDocument/2006/customXml" ds:itemID="{5BB65B62-8FB9-4577-9213-A4CAA974F644}">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9</TotalTime>
  <Application>Yozo_Office27021597764231179</Application>
  <Pages>3</Pages>
  <Words>0</Words>
  <Characters>1385</Characters>
  <Lines>0</Lines>
  <Paragraphs>4</Paragraphs>
  <CharactersWithSpaces>1847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Lenovo</dc:creator>
  <cp:lastModifiedBy>greatwall</cp:lastModifiedBy>
  <cp:revision>1</cp:revision>
  <cp:lastPrinted>2023-03-23T16:07:14Z</cp:lastPrinted>
  <dcterms:created xsi:type="dcterms:W3CDTF">2021-06-06T10:00:00Z</dcterms:created>
  <dcterms:modified xsi:type="dcterms:W3CDTF">2024-08-07T11:32:07Z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2052-11.8.2.9339</vt:lpwstr>
  </property>
</Properties>
</file>