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widowControl/>
        <w:suppressLineNumbers w:val="0"/>
        <w:jc w:val="left"/>
        <w:textAlignment w:val="center"/>
        <w:rPr>
          <w:rFonts w:ascii="黑体" w:eastAsia="黑体" w:cs="黑体" w:hAnsi="黑体" w:hint="eastAsia"/>
          <w:i w:val="0"/>
          <w:color w:val="000000"/>
          <w:kern w:val="0"/>
          <w:sz w:val="28"/>
          <w:szCs w:val="28"/>
          <w:u w:val="none"/>
          <w:lang w:val="en-US" w:eastAsia="zh-CN"/>
        </w:rPr>
      </w:pPr>
      <w:r>
        <w:rPr>
          <w:rFonts w:ascii="黑体" w:eastAsia="黑体" w:cs="黑体" w:hAnsi="黑体" w:hint="eastAsia"/>
          <w:i w:val="0"/>
          <w:color w:val="000000"/>
          <w:kern w:val="0"/>
          <w:sz w:val="28"/>
          <w:szCs w:val="28"/>
          <w:u w:val="none"/>
          <w:lang w:val="en-US" w:eastAsia="zh-CN"/>
        </w:rPr>
        <w:t>附件3-</w:t>
      </w:r>
      <w:r>
        <w:rPr>
          <w:rFonts w:ascii="黑体" w:eastAsia="黑体" w:cs="黑体" w:hAnsi="黑体"/>
          <w:i w:val="0"/>
          <w:color w:val="000000"/>
          <w:kern w:val="0"/>
          <w:sz w:val="28"/>
          <w:szCs w:val="28"/>
          <w:u w:val="none"/>
          <w:lang w:val="en-US" w:eastAsia="zh-CN"/>
        </w:rPr>
        <w:t>2</w:t>
      </w:r>
    </w:p>
    <w:p>
      <w:pPr>
        <w:keepNext w:val="0"/>
        <w:keepLines w:val="0"/>
        <w:widowControl/>
        <w:suppressLineNumbers w:val="0"/>
        <w:jc w:val="center"/>
        <w:textAlignment w:val="bottom"/>
        <w:rPr>
          <w:rFonts w:ascii="华文中宋" w:eastAsia="华文中宋" w:cs="华文中宋" w:hAnsi="华文中宋"/>
          <w:b/>
          <w:i w:val="0"/>
          <w:color w:val="000000"/>
          <w:kern w:val="0"/>
          <w:sz w:val="36"/>
          <w:szCs w:val="36"/>
          <w:u w:val="none"/>
          <w:lang w:val="en-US" w:eastAsia="zh-CN"/>
        </w:rPr>
      </w:pPr>
      <w:r>
        <w:rPr>
          <w:rFonts w:ascii="华文中宋" w:eastAsia="华文中宋" w:cs="华文中宋" w:hAnsi="华文中宋" w:hint="eastAsia"/>
          <w:b/>
          <w:i w:val="0"/>
          <w:color w:val="000000"/>
          <w:kern w:val="0"/>
          <w:sz w:val="36"/>
          <w:szCs w:val="36"/>
          <w:u w:val="none"/>
          <w:lang w:val="en-US" w:eastAsia="zh-CN"/>
        </w:rPr>
        <w:t>202</w:t>
      </w:r>
      <w:r>
        <w:rPr>
          <w:rFonts w:ascii="华文中宋" w:eastAsia="华文中宋" w:cs="华文中宋" w:hAnsi="华文中宋"/>
          <w:b/>
          <w:i w:val="0"/>
          <w:color w:val="000000"/>
          <w:kern w:val="0"/>
          <w:sz w:val="36"/>
          <w:szCs w:val="36"/>
          <w:u w:val="none"/>
          <w:lang w:eastAsia="zh-CN"/>
        </w:rPr>
        <w:t>4</w:t>
      </w:r>
      <w:r>
        <w:rPr>
          <w:rFonts w:ascii="华文中宋" w:eastAsia="华文中宋" w:cs="华文中宋" w:hAnsi="华文中宋" w:hint="eastAsia"/>
          <w:b/>
          <w:i w:val="0"/>
          <w:color w:val="000000"/>
          <w:kern w:val="0"/>
          <w:sz w:val="36"/>
          <w:szCs w:val="36"/>
          <w:u w:val="none"/>
          <w:lang w:val="en-US" w:eastAsia="zh-CN"/>
        </w:rPr>
        <w:t>年省自然科学基金会议评审</w:t>
      </w:r>
      <w:r>
        <w:rPr>
          <w:rFonts w:ascii="华文中宋" w:eastAsia="华文中宋" w:cs="华文中宋" w:hAnsi="华文中宋"/>
          <w:b/>
          <w:i w:val="0"/>
          <w:color w:val="000000"/>
          <w:kern w:val="0"/>
          <w:sz w:val="36"/>
          <w:szCs w:val="36"/>
          <w:u w:val="none"/>
          <w:lang w:val="en-US" w:eastAsia="zh-CN"/>
        </w:rPr>
        <w:t>联合基金</w:t>
      </w:r>
      <w:r>
        <w:rPr>
          <w:rFonts w:ascii="华文中宋" w:eastAsia="华文中宋" w:cs="华文中宋" w:hAnsi="华文中宋" w:hint="eastAsia"/>
          <w:b/>
          <w:i w:val="0"/>
          <w:color w:val="000000"/>
          <w:kern w:val="0"/>
          <w:sz w:val="36"/>
          <w:szCs w:val="36"/>
          <w:u w:val="none"/>
          <w:lang w:val="en-US" w:eastAsia="zh-CN"/>
        </w:rPr>
        <w:t>重点项目</w:t>
      </w:r>
      <w:r>
        <w:rPr>
          <w:rFonts w:ascii="华文中宋" w:eastAsia="华文中宋" w:cs="华文中宋" w:hAnsi="华文中宋"/>
          <w:b/>
          <w:i w:val="0"/>
          <w:color w:val="000000"/>
          <w:kern w:val="0"/>
          <w:sz w:val="36"/>
          <w:szCs w:val="36"/>
          <w:u w:val="none"/>
          <w:lang w:eastAsia="zh-CN"/>
        </w:rPr>
        <w:t>名</w:t>
      </w:r>
      <w:r>
        <w:rPr>
          <w:rFonts w:ascii="华文中宋" w:eastAsia="华文中宋" w:cs="华文中宋" w:hAnsi="华文中宋"/>
          <w:b/>
          <w:i w:val="0"/>
          <w:color w:val="000000"/>
          <w:kern w:val="0"/>
          <w:sz w:val="36"/>
          <w:szCs w:val="36"/>
          <w:u w:val="none"/>
          <w:lang w:val="en-US" w:eastAsia="zh-CN"/>
        </w:rPr>
        <w:t>单</w:t>
      </w:r>
    </w:p>
    <w:tbl>
      <w:tblPr>
        <w:jc w:val="left"/>
        <w:tblInd w:w="0" w:type="dxa"/>
        <w:tblW w:w="10242" w:type="dxa"/>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
      <w:tblGrid>
        <w:gridCol w:w="759"/>
        <w:gridCol w:w="5596"/>
        <w:gridCol w:w="1002"/>
        <w:gridCol w:w="2885"/>
      </w:tblGrid>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i w:val="0"/>
                <w:color w:val="000000"/>
                <w:sz w:val="24"/>
                <w:szCs w:val="24"/>
                <w:u w:val="none"/>
              </w:rPr>
            </w:pPr>
            <w:r>
              <w:rPr>
                <w:rFonts w:ascii="黑体" w:eastAsia="黑体" w:cs="黑体" w:hAnsi="宋体" w:hint="eastAsia"/>
                <w:i w:val="0"/>
                <w:color w:val="000000"/>
                <w:kern w:val="0"/>
                <w:sz w:val="24"/>
                <w:szCs w:val="24"/>
                <w:u w:val="none"/>
                <w:lang w:val="en-US" w:eastAsia="zh-CN"/>
              </w:rPr>
              <w:t>序号</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i w:val="0"/>
                <w:color w:val="000000"/>
                <w:sz w:val="24"/>
                <w:szCs w:val="24"/>
                <w:u w:val="none"/>
              </w:rPr>
            </w:pPr>
            <w:r>
              <w:rPr>
                <w:rFonts w:ascii="黑体" w:eastAsia="黑体" w:cs="黑体" w:hAnsi="宋体" w:hint="eastAsia"/>
                <w:i w:val="0"/>
                <w:color w:val="000000"/>
                <w:kern w:val="0"/>
                <w:sz w:val="24"/>
                <w:szCs w:val="24"/>
                <w:u w:val="none"/>
                <w:lang w:val="en-US" w:eastAsia="zh-CN"/>
              </w:rPr>
              <w:t>项目名称</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i w:val="0"/>
                <w:color w:val="000000"/>
                <w:sz w:val="24"/>
                <w:szCs w:val="24"/>
                <w:u w:val="none"/>
              </w:rPr>
            </w:pPr>
            <w:r>
              <w:rPr>
                <w:rFonts w:ascii="黑体" w:eastAsia="黑体" w:cs="黑体" w:hAnsi="宋体"/>
                <w:i w:val="0"/>
                <w:color w:val="000000"/>
                <w:kern w:val="0"/>
                <w:sz w:val="24"/>
                <w:szCs w:val="24"/>
                <w:u w:val="none"/>
                <w:lang w:val="en-US" w:eastAsia="zh-CN"/>
              </w:rPr>
              <w:t>申报</w:t>
            </w:r>
            <w:r>
              <w:rPr>
                <w:rFonts w:ascii="黑体" w:eastAsia="黑体" w:cs="黑体" w:hAnsi="宋体" w:hint="eastAsia"/>
                <w:i w:val="0"/>
                <w:color w:val="000000"/>
                <w:kern w:val="0"/>
                <w:sz w:val="24"/>
                <w:szCs w:val="24"/>
                <w:u w:val="none"/>
                <w:lang w:val="en-US" w:eastAsia="zh-CN"/>
              </w:rPr>
              <w:t>人</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i w:val="0"/>
                <w:color w:val="000000"/>
                <w:sz w:val="24"/>
                <w:szCs w:val="24"/>
                <w:u w:val="none"/>
              </w:rPr>
            </w:pPr>
            <w:r>
              <w:rPr>
                <w:rFonts w:ascii="黑体" w:eastAsia="黑体" w:cs="黑体" w:hAnsi="宋体"/>
                <w:i w:val="0"/>
                <w:color w:val="000000"/>
                <w:kern w:val="0"/>
                <w:sz w:val="24"/>
                <w:szCs w:val="24"/>
                <w:u w:val="none"/>
                <w:lang w:val="en-US" w:eastAsia="zh-CN"/>
              </w:rPr>
              <w:t>申报</w:t>
            </w:r>
            <w:r>
              <w:rPr>
                <w:rFonts w:ascii="黑体" w:eastAsia="黑体" w:cs="黑体" w:hAnsi="宋体" w:hint="eastAsia"/>
                <w:i w:val="0"/>
                <w:color w:val="000000"/>
                <w:kern w:val="0"/>
                <w:sz w:val="24"/>
                <w:szCs w:val="24"/>
                <w:u w:val="none"/>
                <w:lang w:val="en-US" w:eastAsia="zh-CN"/>
              </w:rPr>
              <w:t>单位</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移动式灌溉装备作业管理智能化机理与方法研究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王一甲</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9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BHLHE40维持低氧微环境下胶质母细胞瘤干细胞的机制研究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王广志</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哈尔滨医科大学附属第二医院</w:t>
            </w:r>
          </w:p>
        </w:tc>
      </w:tr>
      <w:tr>
        <w:trPr>
          <w:trHeight w:val="53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膜下滴灌耦合微生物菌肥阻控设施农业土壤质量退化与生境修复研究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王子龙</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功能微生物-改性秸秆-沼液协同基质化培养微藻机理研究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王丽丽</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5</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模糊集等不确定性理论及智能优化相关问题的研究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王岚</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牡丹江师范学院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6</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智能田间除草机器人多模态信息感知与协同作业关键机理与技术</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王金峰</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7</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寒冷激活温度感受器TRPM2诱导主动脉夹层发生的机制研究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王柏春</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哈尔滨医科大学附属第四医院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8</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基于外泌体组学的结直肠肿瘤及其同源病诊断策略研发与评价研究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王贵玉</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哈尔滨医科大学附属第二医院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9</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液氢环境用胶膜体系设计及其复合材料低温特性演化机制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王冠</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黑龙江省科学院石油化学研究院</w:t>
            </w:r>
          </w:p>
        </w:tc>
      </w:tr>
      <w:tr>
        <w:trPr>
          <w:trHeight w:val="53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10</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煤基超浸润碳材料可控合成及其光热海水淡化提铀研究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王群</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446"/>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11</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AD疾病谱系肠道微生物变化对神经元突触损伤调控机制的研究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尹昌浩</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牡丹江医学院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12</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超低温柔性胶粘剂的设计、合成与耐低温性能机理研究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孔宪志</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黑龙江省科学院石油化学研究院</w:t>
            </w:r>
          </w:p>
        </w:tc>
      </w:tr>
      <w:tr>
        <w:trPr>
          <w:trHeight w:val="518"/>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13</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基于垂直轴风光互补能源响应的植物增温增效光谱调制关键技术研究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冯放</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14</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铸造用复杂结构陶瓷型芯增材制造成型理论与性能调控机理研究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成夙</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哈尔滨理工大学</w:t>
            </w:r>
          </w:p>
        </w:tc>
      </w:tr>
      <w:tr>
        <w:trPr>
          <w:trHeight w:val="498"/>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15</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PFKFB3调控巨噬细胞促进类风湿性关节炎病情发展机制研究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朱伟</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牡丹江医学院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16</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基于3DT1、FLAIR序列的多模态影像在颅内肿瘤诊疗中应用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朱敏</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牡丹江医学院</w:t>
            </w:r>
          </w:p>
        </w:tc>
      </w:tr>
      <w:tr>
        <w:trPr>
          <w:trHeight w:val="518"/>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17</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水肥调控对寒地黑土区固碳沃土-产能提升模式研究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刘竹青</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506"/>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18</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基于T细胞示踪研究结直肠癌液相分离调控肿瘤免疫微环境分子机制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刘明</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哈尔滨医科大学附属第四医院</w:t>
            </w:r>
          </w:p>
        </w:tc>
      </w:tr>
      <w:tr>
        <w:trPr>
          <w:trHeight w:val="482"/>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19</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火山和热液作用下古龙页岩黏土矿物转化机制对储层可压性的控制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刘宗堡</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东北石油大学</w:t>
            </w:r>
          </w:p>
        </w:tc>
      </w:tr>
      <w:tr>
        <w:trPr>
          <w:trHeight w:val="53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20</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陆相页岩油水平井注二氧化碳驱油规律与调整方法研究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刘勇</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大庆油田有限责任公司</w:t>
            </w:r>
          </w:p>
        </w:tc>
      </w:tr>
      <w:tr>
        <w:trPr>
          <w:trHeight w:val="518"/>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21</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黑土区苏打盐碱地灌排协同调控技术及节水抑盐提质效应研究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刘继龙</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494"/>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22</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陆相页岩油水平井注二氧化碳断裂系统稳定性影响机制与表征方法</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齐东岩</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大庆油田有限责任公司</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23</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大豆高油高产分子调控机制解析与种质创新</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齐照明</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24</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先天性巨结肠及其同源病精准手术策略研发与治疗效果评价体系研究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许芝林</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25</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基于多组学的HER2低表达乳腺癌精准分子分型诊疗体系的建立</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许守平</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strike w:val="0"/>
                <w:dstrike w:val="0"/>
                <w:color w:val="000000"/>
                <w:sz w:val="24"/>
              </w:rPr>
              <w:t>哈尔滨医科大学附属肿瘤医院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26</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液肥实时精准靶向深施方法及多系统耦合互馈机理研究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孙小博</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518"/>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27</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基于生物质炭与胶凝材料耦合协同的寒区黑土侵蚀阻控及修复研究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孙和强</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黑龙江省水利科学研究院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28</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严寒地区水利工程超高耐久模壳防护体系设计与智能制造研究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孙景路</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黑龙江省水利科学研究院</w:t>
            </w:r>
          </w:p>
        </w:tc>
      </w:tr>
      <w:tr>
        <w:trPr>
          <w:trHeight w:val="554"/>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29</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GsOTS-GsSRLK模块调控大豆耐盐碱机理及种质创新利用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纪巍</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30</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寒地黑土区生态高标准农田空间重构模式与保障措施研究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杜国明</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31</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嫩江—黑河地区金银成矿末端效应和找矿标识体系研究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李成禄</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黑龙江省自然资源调查院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32</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大豆蛋白与生物大分子互作机制及构效关系研究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李良</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458"/>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33</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玉米湿法加工关键工艺中物料定向酶解机制与新酶菌种创制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李杰</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34</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东北非粮型饲料资源高效饲用转化技术创新及机制研究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李建平</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53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35</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w w:val="90"/>
                <w:sz w:val="24"/>
                <w:szCs w:val="24"/>
                <w:u w:val="none"/>
              </w:rPr>
            </w:pPr>
            <w:r>
              <w:rPr>
                <w:rFonts w:ascii="宋体" w:eastAsia="宋体"/>
                <w:b w:val="0"/>
                <w:i w:val="0"/>
                <w:color w:val="000000"/>
                <w:sz w:val="24"/>
              </w:rPr>
              <w:t>优良性状益生菌生物学基础及其高稳定性结肠靶向递送技术的研究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李柏良</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36</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刺五加多糖纳米粒对猪梭菌性肠炎免疫微环境重塑机制研究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杨昱</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931"/>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37</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面向多类型能源需求的寒地新型电力系统智能化协同运行技术研究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杨德友</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哈尔滨理工大学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38</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畜禽群发性疾病全时空、一体化预防模型与数字化平台的研究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肖建华</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39</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基于Al超声特征及多组学识别急性心肌梗死早期康复风险</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吴健</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哈尔滨医科大学附属第二医院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40</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民猪优良特性的遗传机制解析与种质创新</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狄生伟</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41</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奶牛常见粗饲料关键消化率参数近红外快速检测模型的建立</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辛杭书</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42</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水稻氮高效基因的挖掘、功能研究及育种利用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辛威</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43</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基于胚胎干细胞多基因编辑的新型猪育种体系创建及应用研究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宋军</w:t>
            </w:r>
          </w:p>
        </w:tc>
        <w:tc>
          <w:tcPr>
            <w:tcW w:w="28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44</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寒地气温和细颗粒物与急性心肌梗死预后的风险预警模型构建及评价</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宋涛</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哈尔滨医科大学附属第一医院</w:t>
            </w:r>
          </w:p>
        </w:tc>
      </w:tr>
      <w:tr>
        <w:trPr>
          <w:trHeight w:val="927"/>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45</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高黏土富页理页岩储层立体开发井间多地质要素耦合干扰机制研究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张元庆</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大庆油田有限责任公司</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46</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黑土侵蚀沟防蚀增效植物覆被模式构建和配套施肥技术研究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张少良</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47</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动物化脓隐秘杆菌病新型疫苗的研制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张文龙</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48</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寒地补气类道地中药材品质研究及“功效-物质”解析</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张可勇</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齐齐哈尔医学院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49</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天然产物白藜芦醇干预鸡无机砷中毒机理及应用技术研究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张志刚</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50</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防治犊牛腹泻的牛源罗伊氏乳杆菌产品开发及其作用机制研究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张建涛</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51</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家畜重要性状表型智能测定及寒区养殖环境互作机制研究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张继成</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52</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面向寒地垂直设施农业的环境多源信息融合智能调控理论与方法研究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张喜海</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53</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全基因组范围内筛选和鉴定影响鸡肌内脂肪含量的重要基因和标记</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张慧</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54</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传统特色发酵肉制品风味与品质形成机制及菌群调控技术研究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陈倩</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55</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小球藻纳米酶水凝胶促糖尿病创面愈合研究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武艳</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牡丹江医学院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56</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新型靶向白血病小分子药物的开发和逆转化疗耐药的机制研究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范会涛</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黑龙江省医学科学院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57</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秦皮乙素在热应激致肉鸡肠道菌群与免疫失衡中的作用机制研究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范宏刚</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58</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基于平肝潜阳理论研究牛膝白芍改善高血压心肌肥厚的作用机制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林岩</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齐齐哈尔医学院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59</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抗旱、耐盐碱羊草种质创新及营养评价</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周爱民</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60</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嫁接提高子代番茄枯萎病抗性的种传和根际微生物学机理</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周新刚</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61</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B4C-cBN和B4C-PCD新型超硬复合陶瓷制备及产品研发</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郑友进</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牡丹江师范学院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62</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液肥实时精准靶向深施方法及多系统耦合互馈机理研究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郑书朋</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63</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MASLD相关肝癌的肿瘤微环境解析及联合治疗方案探索</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郑桐森</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strike w:val="0"/>
                <w:dstrike w:val="0"/>
                <w:color w:val="000000"/>
                <w:sz w:val="24"/>
              </w:rPr>
              <w:t>哈尔滨医科大学附属肿瘤医院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64</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心梗后心衰预警靶点及分子机制研究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房绍红</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哈尔滨医科大学附属第二医院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65</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古龙页岩油SC-CO2立体井网压裂造缝与排采参数调控机制研究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赵万春</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东北石油大学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66</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三氧化二砷心脏毒性机制及早期预警研究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赵丹</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哈尔滨医科大学附属第二医院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67</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新型白化类PPO抑制剂除草剂的开发与分子作用机制研究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赵李霞</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68</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汉麻中四氢大麻酚现场快速检测装备构建及方法学研究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赵明</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齐齐哈尔大学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69</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嗜/耐盐复合菌群缓解水稻盐碱胁迫及其促生/增产机制研究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姜巨全</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70</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多组学解析蓝靛果苦味物质形成的分子机理及鲜食品种选育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秦栋</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71</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高比值乙丁酸调节民猪肌内脂肪沉积的机制解析及种质创新</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徐纯柱</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72</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高性能非贵金属催化剂在电解水制氢的应用研究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徐海平</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哈尔滨工业大学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73</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地层高温高压下页岩原位储集性参数测定与表征方法</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徐喜庆</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大庆油田有限责任公司</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74</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大豆疫霉根腐病抗病基因GmICE2功能研究及育种利用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徐鹏飞</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75</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基于全基因组关联的耐盐碱紫花苜蓿新品种选育及营养评价</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殷秀杰</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76</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新能源电池双极板用石墨基关键材料体系设计及其应用基础研究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翁凌</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哈尔滨理工大学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77</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黑土区粮食产能与生态安全协同发展管控分区及综合整治模式构建</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高凤杰</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78</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甜瓜短蔓显性基因CmDW的图位克隆及功能分析</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高美玲</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齐齐哈尔大学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79</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智能刺激响应性纳米农药体系的构建及对靶释放机制研究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高爽</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80</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寒地主栽葫芦科作物重要品质/抗性基因挖掘及新品种选育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高鹏</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81</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六方氮化硼纳米片的三阶非线性光学性质及光纤器件研究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郭波</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哈尔滨工程大学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82</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MHRT靶向ISLR激活自噬减缓心肌梗死后心力衰竭的机制研究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郭媛媛</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哈尔滨医科大学附属第一医院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83</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基于体内砷代谢的As2O3治疗APL心脏毒性早期预警研究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海鑫</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哈尔滨医科大学附属第一医院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84</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全降解型纤维素基原位再生修复材料的微结构调控与功能化研究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黄占华</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东北林业大学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85</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手性向列相石墨烯膜的创制及其枝晶抑制关键技术攻关协同机理研究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黄海波</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东北林业大学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86</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寒温带森林康养提升大健康水平的关键技术及机制产品开发</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黄颖利</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东北林业大学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87</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杨树花总黄酮保护仔猪肠黏膜屏障的机制研究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盛尊来</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88</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“人参豆豉”复合发酵物调节糖脂代谢改善肥胖的作用及机制研究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董坤</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黑龙江省中医药科学院</w:t>
            </w:r>
            <w:bookmarkStart w:id="0" w:name="_GoBack"/>
            <w:bookmarkEnd w:id="0"/>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89</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基于大豆花叶病毒的大豆基因编辑体系 构建与应用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程晓非</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90</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水曲柳远缘杂交生殖障碍调控机理与新种质创制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曾凡锁</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东北林业大学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91</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生猪精准饲养与环境控制标准化研究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谢秋菊</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92</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冻融循环影响下三江平原典型富硒区碳硒耦合作用机制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詹涛</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黑龙江省自然资源调查院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93</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心梗后心衰预警靶点及分子机制研究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蔡本志</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黑龙江省医学科学院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94</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四吡咯基二维有机框架光电功能材料制备及性质研究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蔡雪</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牡丹江师范学院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95</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基于circBBS2轴探讨PQTS抗CIRI铁死亡机制研究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翟凤国</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牡丹江医学院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96</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表面增强拉曼光谱与人工智能融合构建口腔常见致病菌指纹图谱库</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潘爽</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哈尔滨医科大学附属第一医院</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97</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北方寒区生猪健康生产及精准节能环境控制技术研发</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薛宸宇</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98</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肉牛重要性状智能测定及非遗传因素影响分析</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戴百生</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东北农业大学</w:t>
            </w:r>
          </w:p>
        </w:tc>
      </w:tr>
      <w:tr>
        <w:trPr>
          <w:trHeight w:val="600"/>
        </w:trPr>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99</w:t>
            </w:r>
          </w:p>
        </w:tc>
        <w:tc>
          <w:tcPr>
            <w:tcW w:w="55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高速精密电主轴轴心冷却动密封及主动热控制研究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戴野</w:t>
            </w:r>
          </w:p>
        </w:tc>
        <w:tc>
          <w:tcPr>
            <w:tcW w:w="28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哈尔滨理工大学</w:t>
            </w:r>
          </w:p>
        </w:tc>
      </w:tr>
    </w:tbl>
    <w:p>
      <w:r>
        <w:rPr>
          <w:rFonts w:ascii="宋体" w:eastAsia="宋体" w:cs="宋体" w:hAnsi="宋体" w:hint="eastAsia"/>
          <w:i w:val="0"/>
          <w:color w:val="000000"/>
          <w:kern w:val="0"/>
          <w:sz w:val="24"/>
          <w:szCs w:val="24"/>
          <w:u w:val="none"/>
          <w:lang w:val="en-US" w:eastAsia="zh-CN"/>
        </w:rPr>
        <w:t>注：按申报人姓氏笔</w:t>
      </w:r>
      <w:r>
        <w:rPr>
          <w:rFonts w:ascii="宋体" w:eastAsia="宋体" w:cs="宋体" w:hAnsi="宋体"/>
          <w:i w:val="0"/>
          <w:color w:val="000000"/>
          <w:kern w:val="0"/>
          <w:sz w:val="24"/>
          <w:szCs w:val="24"/>
          <w:u w:val="none"/>
          <w:lang w:eastAsia="zh-CN"/>
        </w:rPr>
        <w:t>画</w:t>
      </w:r>
      <w:r>
        <w:rPr>
          <w:rFonts w:ascii="宋体" w:eastAsia="宋体" w:cs="宋体" w:hAnsi="宋体" w:hint="eastAsia"/>
          <w:i w:val="0"/>
          <w:color w:val="000000"/>
          <w:kern w:val="0"/>
          <w:sz w:val="24"/>
          <w:szCs w:val="24"/>
          <w:u w:val="none"/>
          <w:lang w:val="en-US" w:eastAsia="zh-CN"/>
        </w:rPr>
        <w:t>排序。</w:t>
      </w:r>
    </w:p>
    <w:sectPr>
      <w:pgSz w:w="11906" w:h="16838"/>
      <w:pgMar w:top="1134" w:right="907" w:bottom="907" w:left="1020" w:header="851" w:footer="992" w:gutter="0"/>
      <w:rtlGutter/>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华文中宋">
    <w:altName w:val="方正书宋_GBK"/>
    <w:panose1 w:val="02010600040101010101"/>
    <w:charset w:val="86"/>
    <w:family w:val="auto"/>
    <w:pitch w:val="variable"/>
    <w:sig w:usb0="00000000" w:usb1="00000000" w:usb2="00000000" w:usb3="00000000" w:csb0="0004009F" w:csb1="DFD70000"/>
  </w:font>
  <w:font w:name="宋体">
    <w:altName w:val="方正书宋_GBK"/>
    <w:panose1 w:val="00000000000000000000"/>
    <w:charset w:val="86"/>
    <w:family w:val="auto"/>
    <w:pitch w:val="variable"/>
    <w:sig w:usb0="00000000" w:usb1="00000000" w:usb2="00000000" w:usb3="00000000" w:csb0="00000000" w:csb1="00000000"/>
  </w:font>
  <w:font w:name="Arial">
    <w:altName w:val="DejaVu Sans"/>
    <w:panose1 w:val="020B0604020202020204"/>
    <w:charset w:val="01"/>
    <w:family w:val="swiss"/>
    <w:pitch w:val="variable"/>
    <w:sig w:usb0="E0002AFF" w:usb1="C0007843" w:usb2="00000009" w:usb3="00000000" w:csb0="400001FF" w:csb1="FFFF0000"/>
  </w:font>
  <w:font w:name="Times New Roman">
    <w:altName w:val="DejaVu Sans"/>
    <w:panose1 w:val="02020603050405020304"/>
    <w:charset w:val="00"/>
    <w:family w:val="roman"/>
    <w:pitch w:val="variable"/>
    <w:sig w:usb0="20007A87" w:usb1="80000000" w:usb2="00000008" w:usb3="00000000" w:csb0="000001FF" w:csb1="00000000"/>
  </w:font>
  <w:font w:name="Lucida Sans">
    <w:altName w:val="DejaVu Sans"/>
    <w:panose1 w:val="020B0602030504020204"/>
    <w:charset w:val="00"/>
    <w:family w:val="auto"/>
    <w:pitch w:val="variable"/>
    <w:sig w:usb0="00000003" w:usb1="00000000" w:usb2="00000000" w:usb3="00000000" w:csb0="20000001" w:csb1="00000000"/>
  </w:font>
  <w:font w:name="Calibri">
    <w:altName w:val="DejaVu Sans"/>
    <w:panose1 w:val="020F0502020204030204"/>
    <w:charset w:val="00"/>
    <w:family w:val="swiss"/>
    <w:pitch w:val="variable"/>
    <w:sig w:usb0="00000000" w:usb1="00000000" w:usb2="00000001" w:usb3="00000000" w:csb0="0000019F" w:csb1="00000000"/>
  </w:font>
  <w:font w:name="方正兰亭黑_GBK">
    <w:panose1 w:val="02000000000000000000"/>
    <w:charset w:val="86"/>
    <w:family w:val="script"/>
    <w:pitch w:val="variable"/>
    <w:sig w:usb0="A00002BF" w:usb1="3ACF7CFA" w:usb2="00080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Calibri" w:eastAsia="宋体" w:cs="Arial" w:hAnsi="Times New Roman"/>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方正兰亭黑_GBK" w:eastAsia="黑体" w:hAnsi="方正兰亭黑_GBK"/>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character" w:customStyle="1" w:styleId="15">
    <w:name w:val="font11"/>
    <w:basedOn w:val="10"/>
    <w:rPr>
      <w:rFonts w:ascii="宋体" w:eastAsia="宋体" w:cs="宋体" w:hAnsi="宋体"/>
      <w:color w:val="000000"/>
      <w:sz w:val="24"/>
      <w:szCs w:val="24"/>
      <w:u w:val="none"/>
    </w:rPr>
  </w:style>
  <w:style w:type="character" w:customStyle="1" w:styleId="16">
    <w:name w:val="font21"/>
    <w:basedOn w:val="10"/>
    <w:rPr>
      <w:rFonts w:ascii="Arial" w:cs="Arial" w:hAnsi="Arial"/>
      <w:color w:val="000000"/>
      <w:sz w:val="24"/>
      <w:szCs w:val="24"/>
      <w:u w:val="none"/>
    </w:rPr>
  </w:style>
  <w:style w:type="character" w:customStyle="1" w:styleId="17">
    <w:name w:val="font01"/>
    <w:basedOn w:val="10"/>
    <w:rPr>
      <w:rFonts w:ascii="Arial" w:cs="Arial" w:hAnsi="Arial"/>
      <w:color w:val="000000"/>
      <w:sz w:val="24"/>
      <w:szCs w:val="24"/>
      <w:u w:val="no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3 5 12 0 0 1 0 0 0 3000 0 1 1 1 1"/>
    <sectPr/>
  </customProps>
</customData>
</file>

<file path=customXml/itemProps1.xml><?xml version="1.0" encoding="utf-8"?>
<ds:datastoreItem xmlns:ds="http://schemas.openxmlformats.org/officeDocument/2006/customXml" ds:itemID="{971542EC-9951-4C7A-BD9A-F1B3388CDAF2}">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14</TotalTime>
  <Application>Yozo_Office27021597764231179</Application>
  <Pages>6</Pages>
  <Words>0</Words>
  <Characters>3220</Characters>
  <Lines>0</Lines>
  <Paragraphs>4</Paragraphs>
  <CharactersWithSpaces>4294</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Lenovo</dc:creator>
  <cp:lastModifiedBy>greatwall</cp:lastModifiedBy>
  <cp:revision>1</cp:revision>
  <cp:lastPrinted>2022-08-07T16:15:00Z</cp:lastPrinted>
  <dcterms:created xsi:type="dcterms:W3CDTF">2021-06-05T17:53:00Z</dcterms:created>
  <dcterms:modified xsi:type="dcterms:W3CDTF">2024-08-08T00:59:32Z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2052-11.8.2.9339</vt:lpwstr>
  </property>
</Properties>
</file>