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keepNext w:val="0"/>
        <w:keepLines w:val="0"/>
        <w:widowControl/>
        <w:suppressLineNumbers w:val="0"/>
        <w:jc w:val="left"/>
        <w:textAlignment w:val="center"/>
        <w:rPr>
          <w:rFonts w:ascii="黑体" w:eastAsia="黑体" w:cs="黑体" w:hAnsi="黑体" w:hint="eastAsia"/>
          <w:i w:val="0"/>
          <w:color w:val="000000"/>
          <w:kern w:val="0"/>
          <w:sz w:val="28"/>
          <w:szCs w:val="28"/>
          <w:u w:val="none"/>
          <w:lang w:val="en-US" w:eastAsia="zh-CN"/>
        </w:rPr>
      </w:pPr>
      <w:r>
        <w:rPr>
          <w:rFonts w:ascii="黑体" w:eastAsia="黑体" w:cs="黑体" w:hAnsi="黑体" w:hint="eastAsia"/>
          <w:i w:val="0"/>
          <w:color w:val="000000"/>
          <w:kern w:val="0"/>
          <w:sz w:val="28"/>
          <w:szCs w:val="28"/>
          <w:u w:val="none"/>
          <w:lang w:val="en-US" w:eastAsia="zh-CN"/>
        </w:rPr>
        <w:t>附件3-1</w:t>
      </w:r>
    </w:p>
    <w:p>
      <w:pPr>
        <w:keepNext w:val="0"/>
        <w:keepLines w:val="0"/>
        <w:widowControl/>
        <w:suppressLineNumbers w:val="0"/>
        <w:jc w:val="center"/>
        <w:textAlignment w:val="bottom"/>
        <w:rPr>
          <w:rFonts w:ascii="华文中宋" w:eastAsia="华文中宋" w:cs="华文中宋" w:hAnsi="华文中宋"/>
          <w:b/>
          <w:i w:val="0"/>
          <w:color w:val="000000"/>
          <w:kern w:val="0"/>
          <w:sz w:val="36"/>
          <w:szCs w:val="36"/>
          <w:u w:val="none"/>
          <w:lang w:val="en-US" w:eastAsia="zh-CN"/>
        </w:rPr>
      </w:pPr>
      <w:r>
        <w:rPr>
          <w:rFonts w:ascii="华文中宋" w:eastAsia="华文中宋" w:cs="华文中宋" w:hAnsi="华文中宋" w:hint="eastAsia"/>
          <w:b/>
          <w:i w:val="0"/>
          <w:color w:val="000000"/>
          <w:kern w:val="0"/>
          <w:sz w:val="36"/>
          <w:szCs w:val="36"/>
          <w:u w:val="none"/>
          <w:lang w:val="en-US" w:eastAsia="zh-CN"/>
        </w:rPr>
        <w:t>202</w:t>
      </w:r>
      <w:r>
        <w:rPr>
          <w:rFonts w:ascii="华文中宋" w:eastAsia="华文中宋" w:cs="华文中宋" w:hAnsi="华文中宋"/>
          <w:b/>
          <w:i w:val="0"/>
          <w:color w:val="000000"/>
          <w:kern w:val="0"/>
          <w:sz w:val="36"/>
          <w:szCs w:val="36"/>
          <w:u w:val="none"/>
          <w:lang w:eastAsia="zh-CN"/>
        </w:rPr>
        <w:t>4</w:t>
      </w:r>
      <w:r>
        <w:rPr>
          <w:rFonts w:ascii="华文中宋" w:eastAsia="华文中宋" w:cs="华文中宋" w:hAnsi="华文中宋" w:hint="eastAsia"/>
          <w:b/>
          <w:i w:val="0"/>
          <w:color w:val="000000"/>
          <w:kern w:val="0"/>
          <w:sz w:val="36"/>
          <w:szCs w:val="36"/>
          <w:u w:val="none"/>
          <w:lang w:val="en-US" w:eastAsia="zh-CN"/>
        </w:rPr>
        <w:t>年省自然科学基金会议评审重点项目</w:t>
      </w:r>
      <w:r>
        <w:rPr>
          <w:rFonts w:ascii="华文中宋" w:eastAsia="华文中宋" w:cs="华文中宋" w:hAnsi="华文中宋"/>
          <w:b/>
          <w:i w:val="0"/>
          <w:color w:val="000000"/>
          <w:kern w:val="0"/>
          <w:sz w:val="36"/>
          <w:szCs w:val="36"/>
          <w:u w:val="none"/>
          <w:lang w:eastAsia="zh-CN"/>
        </w:rPr>
        <w:t>名</w:t>
      </w:r>
      <w:r>
        <w:rPr>
          <w:rFonts w:ascii="华文中宋" w:eastAsia="华文中宋" w:cs="华文中宋" w:hAnsi="华文中宋"/>
          <w:b/>
          <w:i w:val="0"/>
          <w:color w:val="000000"/>
          <w:kern w:val="0"/>
          <w:sz w:val="36"/>
          <w:szCs w:val="36"/>
          <w:u w:val="none"/>
          <w:lang w:val="en-US" w:eastAsia="zh-CN"/>
        </w:rPr>
        <w:t>单</w:t>
      </w:r>
    </w:p>
    <w:tbl>
      <w:tblPr>
        <w:jc w:val="left"/>
        <w:tblInd w:w="0" w:type="dxa"/>
        <w:tblW w:w="10162" w:type="dxa"/>
        <w:tblBorders>
          <w:top w:val="none" w:sz="0" w:space="0" w:color="auto"/>
          <w:left w:val="none" w:sz="0" w:space="0" w:color="auto"/>
          <w:bottom w:val="none" w:sz="0" w:space="0" w:color="auto"/>
          <w:right w:val="none" w:sz="0" w:space="0" w:color="auto"/>
        </w:tblBorders>
        <w:shd w:val="clear" w:color="auto" w:fill="auto"/>
        <w:tblCellMar>
          <w:top w:w="0" w:type="dxa"/>
          <w:left w:w="0" w:type="dxa"/>
          <w:bottom w:w="0" w:type="dxa"/>
          <w:right w:w="0" w:type="dxa"/>
        </w:tblCellMar>
      </w:tblPr>
      <w:tblGrid>
        <w:gridCol w:w="749"/>
        <w:gridCol w:w="5296"/>
        <w:gridCol w:w="1002"/>
        <w:gridCol w:w="3115"/>
      </w:tblGrid>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i w:val="0"/>
                <w:color w:val="000000"/>
                <w:sz w:val="24"/>
                <w:szCs w:val="24"/>
                <w:u w:val="none"/>
              </w:rPr>
            </w:pPr>
            <w:r>
              <w:rPr>
                <w:rFonts w:ascii="黑体" w:eastAsia="黑体" w:cs="黑体" w:hAnsi="宋体" w:hint="eastAsia"/>
                <w:i w:val="0"/>
                <w:color w:val="000000"/>
                <w:kern w:val="0"/>
                <w:sz w:val="24"/>
                <w:szCs w:val="24"/>
                <w:u w:val="none"/>
                <w:lang w:val="en-US" w:eastAsia="zh-CN"/>
              </w:rPr>
              <w:t>序号</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i w:val="0"/>
                <w:color w:val="000000"/>
                <w:sz w:val="24"/>
                <w:szCs w:val="24"/>
                <w:u w:val="none"/>
              </w:rPr>
            </w:pPr>
            <w:r>
              <w:rPr>
                <w:rFonts w:ascii="黑体" w:eastAsia="黑体" w:cs="黑体" w:hAnsi="宋体" w:hint="eastAsia"/>
                <w:i w:val="0"/>
                <w:color w:val="000000"/>
                <w:kern w:val="0"/>
                <w:sz w:val="24"/>
                <w:szCs w:val="24"/>
                <w:u w:val="none"/>
                <w:lang w:val="en-US" w:eastAsia="zh-CN"/>
              </w:rPr>
              <w:t>项目名称</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i w:val="0"/>
                <w:color w:val="000000"/>
                <w:sz w:val="24"/>
                <w:szCs w:val="24"/>
                <w:u w:val="none"/>
              </w:rPr>
            </w:pPr>
            <w:r>
              <w:rPr>
                <w:rFonts w:ascii="黑体" w:eastAsia="黑体" w:cs="黑体" w:hAnsi="宋体"/>
                <w:i w:val="0"/>
                <w:color w:val="000000"/>
                <w:kern w:val="0"/>
                <w:sz w:val="24"/>
                <w:szCs w:val="24"/>
                <w:u w:val="none"/>
                <w:lang w:val="en-US" w:eastAsia="zh-CN"/>
              </w:rPr>
              <w:t>申报</w:t>
            </w:r>
            <w:r>
              <w:rPr>
                <w:rFonts w:ascii="黑体" w:eastAsia="黑体" w:cs="黑体" w:hAnsi="宋体" w:hint="eastAsia"/>
                <w:i w:val="0"/>
                <w:color w:val="000000"/>
                <w:kern w:val="0"/>
                <w:sz w:val="24"/>
                <w:szCs w:val="24"/>
                <w:u w:val="none"/>
                <w:lang w:val="en-US" w:eastAsia="zh-CN"/>
              </w:rPr>
              <w:t>人</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eastAsia="黑体" w:cs="黑体" w:hAnsi="宋体" w:hint="eastAsia"/>
                <w:i w:val="0"/>
                <w:color w:val="000000"/>
                <w:sz w:val="24"/>
                <w:szCs w:val="24"/>
                <w:u w:val="none"/>
              </w:rPr>
            </w:pPr>
            <w:r>
              <w:rPr>
                <w:rFonts w:ascii="黑体" w:eastAsia="黑体" w:cs="黑体" w:hAnsi="宋体"/>
                <w:i w:val="0"/>
                <w:color w:val="000000"/>
                <w:kern w:val="0"/>
                <w:sz w:val="24"/>
                <w:szCs w:val="24"/>
                <w:u w:val="none"/>
                <w:lang w:val="en-US" w:eastAsia="zh-CN"/>
              </w:rPr>
              <w:t>申报</w:t>
            </w:r>
            <w:r>
              <w:rPr>
                <w:rFonts w:ascii="黑体" w:eastAsia="黑体" w:cs="黑体" w:hAnsi="宋体" w:hint="eastAsia"/>
                <w:i w:val="0"/>
                <w:color w:val="000000"/>
                <w:kern w:val="0"/>
                <w:sz w:val="24"/>
                <w:szCs w:val="24"/>
                <w:u w:val="none"/>
                <w:lang w:val="en-US" w:eastAsia="zh-CN"/>
              </w:rPr>
              <w:t>单位</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林甸地区深部咸水层碳封存气-水-岩相互作用机理及矿化封存定量</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马永法</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黑龙江省生态地质调查研究院</w:t>
            </w:r>
          </w:p>
        </w:tc>
      </w:tr>
      <w:tr>
        <w:trPr>
          <w:trHeight w:val="9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基于免疫平衡解析桔梗对支原体感染后肺损伤的保护机制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王伟明</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黑龙江省中医药科学院</w:t>
            </w:r>
          </w:p>
        </w:tc>
      </w:tr>
      <w:tr>
        <w:trPr>
          <w:trHeight w:val="53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反应扩散方程的分歧解及其在生态学中的应用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王金凤</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哈尔滨师范大学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兆瓦级燃气轮机高负荷紧凑式压缩系统降损增效机制及方法</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王琦</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中国船舶集团有限公司第七〇三研究所</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5</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MT对芸豆多酚氧化应激抑制及其调控糖脂代谢机制的研究与评价</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王颖</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黑龙江八一农垦大学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6</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靶向呼吸道DC的mRNA疫苗精准递送系统建立及应用</w:t>
            </w:r>
            <w:bookmarkStart w:id="0" w:name="_GoBack"/>
            <w:bookmarkEnd w:id="0"/>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王靖飞</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中国农业科学院哈尔滨兽医研究所</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7</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基于硅磷酸钙生物3D打印组织工程骨的构建及其修复骨缺损的研究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王新涛</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黑龙江省医学科学院</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8</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寒地特色龙药刺五加苷E的R8脂质体防治肺动脉高压分子机制研究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邢妍</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哈尔滨医科大学大庆分校</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9</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复杂应力状态下CO2透平叶轮的损伤机理</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曲嘉</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哈尔滨工程大学</w:t>
            </w:r>
          </w:p>
        </w:tc>
      </w:tr>
      <w:tr>
        <w:trPr>
          <w:trHeight w:val="53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10</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FAM72A减弱顺铂诱导的坏死性凋亡进而抑制抗肿瘤免疫的研究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朱锦红</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strike w:val="0"/>
                <w:dstrike w:val="0"/>
                <w:color w:val="000000"/>
                <w:sz w:val="24"/>
              </w:rPr>
              <w:t>哈尔滨医科大学附属肿瘤医院</w:t>
            </w:r>
          </w:p>
        </w:tc>
      </w:tr>
      <w:tr>
        <w:trPr>
          <w:trHeight w:val="446"/>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11</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基于大语言模型的自主农业机器人系统智慧运行技术研究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刘健行</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12</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基于“肠-肺轴”菌群与免疫功能研究林菌多糖防治慢性阻塞性肺病</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汲晨锋</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哈尔滨商业大学</w:t>
            </w:r>
          </w:p>
        </w:tc>
      </w:tr>
      <w:tr>
        <w:trPr>
          <w:trHeight w:val="518"/>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13</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OGA介导的NEK7的O糖基化修饰调控帕金森病小胶质细胞焦亡</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汤颖</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哈尔滨医科大学附属第一医院</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14</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防治大豆胞囊线虫病的植物源活性物质挖掘及应用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李春杰</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中国科学院东北地理与农业生态研究所农业技术中心</w:t>
            </w:r>
          </w:p>
        </w:tc>
      </w:tr>
      <w:tr>
        <w:trPr>
          <w:trHeight w:val="498"/>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15</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心脑血管系统多尺度生物力学与介入治疗多场耦合力数值模拟研究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李彩娟</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牡丹江医学院</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16</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中药注射剂的关键质量属性研究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杨利红</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黑龙江省药品检验研究院</w:t>
            </w:r>
          </w:p>
        </w:tc>
      </w:tr>
      <w:tr>
        <w:trPr>
          <w:trHeight w:val="518"/>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17</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GDF11修饰ADSCs增强表皮干细胞稳态抗光老化的时空研究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肖志波</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哈尔滨医科大学附属第二医院</w:t>
            </w:r>
          </w:p>
        </w:tc>
      </w:tr>
      <w:tr>
        <w:trPr>
          <w:trHeight w:val="506"/>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18</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大规模星群海量任务智能规划</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吴限德</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哈尔滨工程大学</w:t>
            </w:r>
          </w:p>
        </w:tc>
      </w:tr>
      <w:tr>
        <w:trPr>
          <w:trHeight w:val="482"/>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19</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多模态生物医药分子大模型及药物互作与效应机制研究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汪国华</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东北林业大学</w:t>
            </w:r>
          </w:p>
        </w:tc>
      </w:tr>
      <w:tr>
        <w:trPr>
          <w:trHeight w:val="53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20</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面向医学检验检疫需求的拉曼技术及专用系统研究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宋武琦</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黑龙江省医学科学院</w:t>
            </w:r>
          </w:p>
        </w:tc>
      </w:tr>
      <w:tr>
        <w:trPr>
          <w:trHeight w:val="518"/>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21</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寒地黑土典型污染物生物消减技术及调控机制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宋福强</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黑龙江大学</w:t>
            </w:r>
          </w:p>
        </w:tc>
      </w:tr>
      <w:tr>
        <w:trPr>
          <w:trHeight w:val="494"/>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22</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耐热隔热硅橡胶涂层体系构建与耐烧蚀机理研究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张天栋</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23</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PLAUR(D2D3)调控干细胞衰老促进糖尿病角膜病变的研究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张弘</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哈尔滨医科大学附属第一医院</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24</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吸热介质冷却下的航空齿轮高品质加工与精准控制研究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陈涛</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25</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高效安全冰结构设计理论及智能化施运维技术研究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武岳</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26</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基于全息显微成像的MEMS芯片形貌三维测量系统研究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单明广</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哈尔滨工程大学</w:t>
            </w:r>
          </w:p>
        </w:tc>
      </w:tr>
      <w:tr>
        <w:trPr>
          <w:trHeight w:val="518"/>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27</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籽用南瓜优异基因挖掘及育种应用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屈淑平</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28</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东北碳酸盐型盐碱地渔农综合种养关键理论研究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赵志刚</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中国水产科学研究院黑龙江水产研究所</w:t>
            </w:r>
          </w:p>
        </w:tc>
      </w:tr>
      <w:tr>
        <w:trPr>
          <w:trHeight w:val="554"/>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29</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超临界/密相二氧化碳管道瞬态减压机理与韧性止裂模型研究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赵雪峰</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大庆油田有限责任公司</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30</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高损伤阻抗及耐疲劳直升机动部件热塑性复合材料构件研究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宫少波</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哈尔滨飞机工业集团有限责任公司</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31</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基于蛋白结构特性变化解析冷冻肉品质和营养安全性下降的分子机制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夏秀芳</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32</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熔融金属法裂解煤矿瓦斯制氢和高值碳反应机理研究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徐锋</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黑龙江科技大学</w:t>
            </w:r>
          </w:p>
        </w:tc>
      </w:tr>
      <w:tr>
        <w:trPr>
          <w:trHeight w:val="458"/>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33</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桔梗皂苷D调控巨噬细胞重编程和NET释放保护急性肺损伤的机制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高春艳</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哈尔滨医科大学大庆分校</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34</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寒区典型有机固废低碳高值资源化新技术研究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郭婉茜</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53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35</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双靶向DC的猪轮状病毒核酸疫苗精准递送系统研究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唐丽杰</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东北农业大学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36</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高纬度冻土场地低成本储能驱动地下空间冷源应用技术研究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曹连众</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哈尔滨体育学院</w:t>
            </w:r>
          </w:p>
        </w:tc>
      </w:tr>
      <w:tr>
        <w:trPr>
          <w:trHeight w:val="931"/>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37</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面向复杂应急救援场景的液压人形机器人行走技能自学习方法研究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曹政才</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哈尔滨工业大学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38</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低品位锂资源的特异性吸附材料及其高效低耗提取策略</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彭太</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佳木斯大学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39</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双金属原子/PCN-COF实现低浓度CO2光催化转化偶联反应</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蒋保江</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40</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核电汽轮发电机用超多相转枢式无刷励磁机机理及关键技术研究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韩继超</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哈尔滨理工大学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41</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Arial" w:eastAsia="宋体" w:cs="Arial" w:hAnsi="Arial"/>
                <w:i w:val="0"/>
                <w:color w:val="000000"/>
                <w:sz w:val="24"/>
                <w:szCs w:val="24"/>
                <w:u w:val="none"/>
              </w:rPr>
            </w:pPr>
            <w:r>
              <w:rPr>
                <w:rFonts w:ascii="宋体" w:eastAsia="宋体"/>
                <w:b w:val="0"/>
                <w:i w:val="0"/>
                <w:color w:val="000000"/>
                <w:sz w:val="24"/>
              </w:rPr>
              <w:t>玉米秸秆结构可控分离及塑化重组增强机制研究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谢延军</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东北林业大学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42</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新发猪繁殖与呼吸综合征流行病学调查及致病机理研究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蔡雪辉</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中国农业科学院哈尔滨兽医研究所</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eastAsia="宋体" w:cs="宋体" w:hAnsi="宋体" w:hint="eastAsia"/>
                <w:i w:val="0"/>
                <w:color w:val="000000"/>
                <w:sz w:val="24"/>
                <w:szCs w:val="24"/>
                <w:u w:val="none"/>
              </w:rPr>
            </w:pPr>
            <w:r>
              <w:rPr>
                <w:rFonts w:ascii="宋体" w:eastAsia="宋体" w:cs="宋体" w:hAnsi="宋体" w:hint="eastAsia"/>
                <w:i w:val="0"/>
                <w:color w:val="000000"/>
                <w:kern w:val="0"/>
                <w:sz w:val="24"/>
                <w:szCs w:val="24"/>
                <w:u w:val="none"/>
                <w:lang w:val="en-US" w:eastAsia="zh-CN"/>
              </w:rPr>
              <w:t>43</w:t>
            </w:r>
          </w:p>
        </w:tc>
        <w:tc>
          <w:tcPr>
            <w:tcW w:w="52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复杂条件下严寒地区水工结构快速抢险修复材料基础研究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jc w:val="center"/>
              <w:rPr>
                <w:rFonts w:ascii="宋体" w:eastAsia="宋体" w:cs="宋体" w:hAnsi="宋体" w:hint="eastAsia"/>
                <w:i w:val="0"/>
                <w:color w:val="000000"/>
                <w:sz w:val="24"/>
                <w:szCs w:val="24"/>
                <w:u w:val="none"/>
              </w:rPr>
            </w:pPr>
            <w:r>
              <w:rPr>
                <w:rFonts w:ascii="宋体" w:eastAsia="宋体"/>
                <w:b w:val="0"/>
                <w:i w:val="0"/>
                <w:color w:val="000000"/>
                <w:sz w:val="24"/>
              </w:rPr>
              <w:t>裴万胜</w:t>
            </w:r>
          </w:p>
        </w:tc>
        <w:tc>
          <w:tcPr>
            <w:tcW w:w="31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pPr>
              <w:spacing w:line="400" w:lineRule="exact"/>
              <w:rPr>
                <w:rFonts w:ascii="宋体" w:eastAsia="宋体" w:cs="宋体" w:hAnsi="宋体" w:hint="eastAsia"/>
                <w:i w:val="0"/>
                <w:color w:val="000000"/>
                <w:sz w:val="24"/>
                <w:szCs w:val="24"/>
                <w:u w:val="none"/>
              </w:rPr>
            </w:pPr>
            <w:r>
              <w:rPr>
                <w:rFonts w:ascii="宋体" w:eastAsia="宋体"/>
                <w:b w:val="0"/>
                <w:i w:val="0"/>
                <w:color w:val="000000"/>
                <w:sz w:val="24"/>
              </w:rPr>
              <w:t>黑龙江省水利科学研究院</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44</w:t>
            </w:r>
          </w:p>
        </w:tc>
        <w:tc>
          <w:tcPr>
            <w:tcW w:w="52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长航时海气跨域型机器人操纵机理与调控方法</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廖煜雷</w:t>
            </w:r>
          </w:p>
        </w:tc>
        <w:tc>
          <w:tcPr>
            <w:tcW w:w="3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哈尔滨工程大学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45</w:t>
            </w:r>
          </w:p>
        </w:tc>
        <w:tc>
          <w:tcPr>
            <w:tcW w:w="52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页岩油科学仪器智能化理论和算法研究及其应用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潘哲君</w:t>
            </w:r>
          </w:p>
        </w:tc>
        <w:tc>
          <w:tcPr>
            <w:tcW w:w="3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东北石油大学</w:t>
            </w:r>
          </w:p>
        </w:tc>
      </w:tr>
      <w:tr>
        <w:trPr>
          <w:trHeight w:val="600"/>
        </w:trPr>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jc w:val="center"/>
              <w:textAlignment w:val="center"/>
              <w:rPr>
                <w:rFonts w:ascii="宋体" w:eastAsia="宋体" w:cs="宋体" w:hAnsi="宋体"/>
                <w:i w:val="0"/>
                <w:color w:val="000000"/>
                <w:kern w:val="0"/>
                <w:sz w:val="24"/>
                <w:szCs w:val="24"/>
                <w:u w:val="none"/>
                <w:lang w:val="en-US" w:eastAsia="zh-CN"/>
              </w:rPr>
            </w:pPr>
            <w:r>
              <w:rPr>
                <w:rFonts w:ascii="宋体" w:eastAsia="宋体" w:cs="宋体" w:hAnsi="宋体"/>
                <w:i w:val="0"/>
                <w:color w:val="000000"/>
                <w:kern w:val="0"/>
                <w:sz w:val="24"/>
                <w:szCs w:val="24"/>
                <w:u w:val="none"/>
                <w:lang w:val="en-US" w:eastAsia="zh-CN"/>
              </w:rPr>
              <w:t>46</w:t>
            </w:r>
          </w:p>
        </w:tc>
        <w:tc>
          <w:tcPr>
            <w:tcW w:w="52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杨树茎部木质部细胞膨胀阶段初生细胞壁松弛分子调控机制</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jc w:val="center"/>
              <w:rPr>
                <w:rFonts w:ascii="宋体" w:eastAsia="宋体" w:cs="宋体" w:hAnsi="宋体"/>
                <w:i w:val="0"/>
                <w:color w:val="000000"/>
                <w:sz w:val="24"/>
                <w:szCs w:val="24"/>
                <w:u w:val="none"/>
              </w:rPr>
            </w:pPr>
            <w:r>
              <w:rPr>
                <w:rFonts w:ascii="宋体" w:eastAsia="宋体"/>
                <w:b w:val="0"/>
                <w:i w:val="0"/>
                <w:color w:val="000000"/>
                <w:sz w:val="24"/>
              </w:rPr>
              <w:t>魏志刚</w:t>
            </w:r>
          </w:p>
        </w:tc>
        <w:tc>
          <w:tcPr>
            <w:tcW w:w="3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400" w:lineRule="exact"/>
              <w:rPr>
                <w:rFonts w:ascii="宋体" w:eastAsia="宋体" w:cs="宋体" w:hAnsi="宋体"/>
                <w:i w:val="0"/>
                <w:color w:val="000000"/>
                <w:sz w:val="24"/>
                <w:szCs w:val="24"/>
                <w:u w:val="none"/>
              </w:rPr>
            </w:pPr>
            <w:r>
              <w:rPr>
                <w:rFonts w:ascii="宋体" w:eastAsia="宋体"/>
                <w:b w:val="0"/>
                <w:i w:val="0"/>
                <w:color w:val="000000"/>
                <w:sz w:val="24"/>
              </w:rPr>
              <w:t>黑龙江大学</w:t>
            </w:r>
          </w:p>
        </w:tc>
      </w:tr>
    </w:tbl>
    <w:p>
      <w:r>
        <w:rPr>
          <w:rFonts w:ascii="宋体" w:eastAsia="宋体" w:cs="宋体" w:hAnsi="宋体" w:hint="eastAsia"/>
          <w:i w:val="0"/>
          <w:color w:val="000000"/>
          <w:kern w:val="0"/>
          <w:sz w:val="24"/>
          <w:szCs w:val="24"/>
          <w:u w:val="none"/>
          <w:lang w:val="en-US" w:eastAsia="zh-CN"/>
        </w:rPr>
        <w:t>注：按申报人姓氏笔</w:t>
      </w:r>
      <w:r>
        <w:rPr>
          <w:rFonts w:ascii="宋体" w:eastAsia="宋体" w:cs="宋体" w:hAnsi="宋体"/>
          <w:i w:val="0"/>
          <w:color w:val="000000"/>
          <w:kern w:val="0"/>
          <w:sz w:val="24"/>
          <w:szCs w:val="24"/>
          <w:u w:val="none"/>
          <w:lang w:eastAsia="zh-CN"/>
        </w:rPr>
        <w:t>画</w:t>
      </w:r>
      <w:r>
        <w:rPr>
          <w:rFonts w:ascii="宋体" w:eastAsia="宋体" w:cs="宋体" w:hAnsi="宋体" w:hint="eastAsia"/>
          <w:i w:val="0"/>
          <w:color w:val="000000"/>
          <w:kern w:val="0"/>
          <w:sz w:val="24"/>
          <w:szCs w:val="24"/>
          <w:u w:val="none"/>
          <w:lang w:val="en-US" w:eastAsia="zh-CN"/>
        </w:rPr>
        <w:t>排序。</w:t>
      </w:r>
    </w:p>
    <w:sectPr>
      <w:pgSz w:w="11906" w:h="16838"/>
      <w:pgMar w:top="1134" w:right="907" w:bottom="907" w:left="1020" w:header="851" w:footer="992" w:gutter="0"/>
      <w:rtlGutter/>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华文中宋">
    <w:altName w:val="方正书宋_GBK"/>
    <w:panose1 w:val="02010600040101010101"/>
    <w:charset w:val="86"/>
    <w:family w:val="auto"/>
    <w:pitch w:val="variable"/>
    <w:sig w:usb0="00000000" w:usb1="00000000" w:usb2="00000000" w:usb3="00000000" w:csb0="0004009F" w:csb1="DFD70000"/>
  </w:font>
  <w:font w:name="宋体">
    <w:altName w:val="方正书宋_GBK"/>
    <w:panose1 w:val="00000000000000000000"/>
    <w:charset w:val="86"/>
    <w:family w:val="auto"/>
    <w:pitch w:val="variable"/>
    <w:sig w:usb0="00000000" w:usb1="00000000" w:usb2="00000000" w:usb3="00000000" w:csb0="00000000" w:csb1="00000000"/>
  </w:font>
  <w:font w:name="Arial">
    <w:altName w:val="DejaVu Sans"/>
    <w:panose1 w:val="020B0604020202020204"/>
    <w:charset w:val="01"/>
    <w:family w:val="swiss"/>
    <w:pitch w:val="variable"/>
    <w:sig w:usb0="E0002AFF" w:usb1="C0007843" w:usb2="00000009" w:usb3="00000000" w:csb0="400001FF" w:csb1="FFFF0000"/>
  </w:font>
  <w:font w:name="Times New Roman">
    <w:altName w:val="DejaVu Sans"/>
    <w:panose1 w:val="02020603050405020304"/>
    <w:charset w:val="00"/>
    <w:family w:val="roman"/>
    <w:pitch w:val="variable"/>
    <w:sig w:usb0="20007A87" w:usb1="80000000" w:usb2="00000008" w:usb3="00000000" w:csb0="000001FF" w:csb1="00000000"/>
  </w:font>
  <w:font w:name="Lucida Sans">
    <w:altName w:val="DejaVu Sans"/>
    <w:panose1 w:val="020B0602030504020204"/>
    <w:charset w:val="00"/>
    <w:family w:val="auto"/>
    <w:pitch w:val="variable"/>
    <w:sig w:usb0="00000003" w:usb1="00000000" w:usb2="00000000" w:usb3="00000000" w:csb0="20000001" w:csb1="00000000"/>
  </w:font>
  <w:font w:name="Calibri">
    <w:altName w:val="DejaVu Sans"/>
    <w:panose1 w:val="020F0502020204030204"/>
    <w:charset w:val="00"/>
    <w:family w:val="swiss"/>
    <w:pitch w:val="variable"/>
    <w:sig w:usb0="00000000" w:usb1="00000000" w:usb2="00000001" w:usb3="00000000" w:csb0="0000019F" w:csb1="00000000"/>
  </w:font>
  <w:font w:name="方正兰亭黑_GBK">
    <w:panose1 w:val="02000000000000000000"/>
    <w:charset w:val="86"/>
    <w:family w:val="script"/>
    <w:pitch w:val="variable"/>
    <w:sig w:usb0="A00002BF" w:usb1="3ACF7CFA" w:usb2="0008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Calibri" w:eastAsia="宋体" w:cs="Arial"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方正兰亭黑_GBK" w:eastAsia="黑体" w:hAnsi="方正兰亭黑_GBK"/>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character" w:customStyle="1" w:styleId="15">
    <w:name w:val="font11"/>
    <w:basedOn w:val="10"/>
    <w:rPr>
      <w:rFonts w:ascii="宋体" w:eastAsia="宋体" w:cs="宋体" w:hAnsi="宋体"/>
      <w:color w:val="000000"/>
      <w:sz w:val="24"/>
      <w:szCs w:val="24"/>
      <w:u w:val="none"/>
    </w:rPr>
  </w:style>
  <w:style w:type="character" w:customStyle="1" w:styleId="16">
    <w:name w:val="font21"/>
    <w:basedOn w:val="10"/>
    <w:rPr>
      <w:rFonts w:ascii="Arial" w:cs="Arial" w:hAnsi="Arial"/>
      <w:color w:val="000000"/>
      <w:sz w:val="24"/>
      <w:szCs w:val="24"/>
      <w:u w:val="none"/>
    </w:rPr>
  </w:style>
  <w:style w:type="character" w:customStyle="1" w:styleId="17">
    <w:name w:val="font01"/>
    <w:basedOn w:val="10"/>
    <w:rPr>
      <w:rFonts w:ascii="Arial" w:cs="Arial" w:hAnsi="Arial"/>
      <w:color w:val="000000"/>
      <w:sz w:val="24"/>
      <w:szCs w:val="24"/>
      <w:u w:val="non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3 5 12 0 0 1 0 0 0 3000 0 1 1 1 1"/>
    <sectPr/>
  </customProps>
</customData>
</file>

<file path=customXml/itemProps1.xml><?xml version="1.0" encoding="utf-8"?>
<ds:datastoreItem xmlns:ds="http://schemas.openxmlformats.org/officeDocument/2006/customXml" ds:itemID="{066A9C9A-0260-4722-B06F-08BA59BDD95B}">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5</TotalTime>
  <Application>Yozo_Office27021597764231179</Application>
  <Pages>3</Pages>
  <Words>0</Words>
  <Characters>1545</Characters>
  <Lines>0</Lines>
  <Paragraphs>4</Paragraphs>
  <CharactersWithSpaces>2061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Lenovo</dc:creator>
  <cp:lastModifiedBy>greatwall</cp:lastModifiedBy>
  <cp:revision>1</cp:revision>
  <cp:lastPrinted>2022-08-07T16:15:00Z</cp:lastPrinted>
  <dcterms:created xsi:type="dcterms:W3CDTF">2021-06-05T17:53:00Z</dcterms:created>
  <dcterms:modified xsi:type="dcterms:W3CDTF">2024-08-07T11:12:10Z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2052-11.8.2.9339</vt:lpwstr>
  </property>
</Properties>
</file>