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CE61"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黑龙江省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国家重大科技基础设施</w:t>
      </w:r>
    </w:p>
    <w:p w14:paraId="22200DCB"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奖励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实施细则</w:t>
      </w:r>
    </w:p>
    <w:p w14:paraId="2E28C113">
      <w:pPr>
        <w:spacing w:line="560" w:lineRule="exact"/>
        <w:jc w:val="center"/>
        <w:rPr>
          <w:rFonts w:hint="eastAsia" w:ascii="楷体" w:hAnsi="楷体" w:eastAsia="楷体" w:cs="楷体"/>
          <w:color w:val="auto"/>
          <w:lang w:val="en" w:eastAsia="zh-CN"/>
        </w:rPr>
      </w:pPr>
      <w:r>
        <w:rPr>
          <w:rFonts w:hint="eastAsia" w:ascii="楷体" w:hAnsi="楷体" w:eastAsia="楷体" w:cs="楷体"/>
          <w:color w:val="auto"/>
          <w:lang w:val="en" w:eastAsia="zh-CN"/>
        </w:rPr>
        <w:t>（征求意见稿）</w:t>
      </w:r>
    </w:p>
    <w:p w14:paraId="1D503C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</w:p>
    <w:p w14:paraId="5089C4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</w:rPr>
        <w:t>为贯彻落实《新时代龙江创新发展60条》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黑办发〔202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高效发挥国家重大科技基础设施作用，突破关键领域重大科学技术问题，集聚国内外优秀科技力量，</w:t>
      </w:r>
      <w:r>
        <w:rPr>
          <w:rFonts w:hint="default" w:ascii="Times New Roman" w:hAnsi="Times New Roman" w:eastAsia="仿宋_GB2312" w:cs="Times New Roman"/>
          <w:color w:val="auto"/>
        </w:rPr>
        <w:t>推动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核心技术突破与成果</w:t>
      </w:r>
      <w:r>
        <w:rPr>
          <w:rFonts w:hint="default" w:ascii="Times New Roman" w:hAnsi="Times New Roman" w:eastAsia="仿宋_GB2312" w:cs="Times New Roman"/>
          <w:color w:val="auto"/>
        </w:rPr>
        <w:t>产业化进程，规范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</w:rPr>
        <w:t>资金的使用及管理，制定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此实施细则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</w:p>
    <w:p w14:paraId="1EBB0D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default" w:ascii="Times New Roman" w:hAnsi="Times New Roman" w:eastAsia="黑体" w:cs="Times New Roman"/>
          <w:color w:val="auto"/>
        </w:rPr>
        <w:t>一、支持对象</w:t>
      </w:r>
    </w:p>
    <w:p w14:paraId="391F66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default" w:ascii="Times New Roman" w:hAnsi="Times New Roman" w:eastAsia="仿宋_GB2312" w:cs="Times New Roman"/>
          <w:color w:val="auto"/>
        </w:rPr>
        <w:t>国家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重大科技基础设施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（以下简称“设施”）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</w:p>
    <w:p w14:paraId="1CE72E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default" w:ascii="Times New Roman" w:hAnsi="Times New Roman" w:eastAsia="黑体" w:cs="Times New Roman"/>
          <w:color w:val="auto"/>
        </w:rPr>
        <w:t>二、支持条件和方式</w:t>
      </w:r>
    </w:p>
    <w:p w14:paraId="5A3DB2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eastAsia" w:ascii="仿宋_GB2312" w:hAnsi="仿宋_GB2312" w:eastAsia="仿宋_GB2312" w:cs="仿宋_GB2312"/>
          <w:color w:val="auto"/>
        </w:rPr>
        <w:t>（一）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通过验收并正式投入使用，根据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“绩效评价结果”</w:t>
      </w:r>
      <w:r>
        <w:rPr>
          <w:rFonts w:hint="eastAsia" w:ascii="仿宋_GB2312" w:hAnsi="仿宋_GB2312" w:eastAsia="仿宋_GB2312" w:cs="仿宋_GB2312"/>
          <w:color w:val="auto"/>
        </w:rPr>
        <w:t>给予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支持。</w:t>
      </w:r>
    </w:p>
    <w:p w14:paraId="1063DB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（二）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指标与分值。</w:t>
      </w:r>
      <w:r>
        <w:rPr>
          <w:rFonts w:hint="eastAsia" w:ascii="仿宋_GB2312" w:hAnsi="仿宋_GB2312" w:eastAsia="仿宋_GB2312" w:cs="仿宋_GB2312"/>
          <w:color w:val="auto"/>
        </w:rPr>
        <w:t>评价指标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由一级指标和二级指标构成。一级指标包括：</w:t>
      </w:r>
      <w:r>
        <w:rPr>
          <w:rFonts w:hint="eastAsia" w:ascii="仿宋_GB2312" w:hAnsi="仿宋_GB2312" w:eastAsia="仿宋_GB2312" w:cs="仿宋_GB2312"/>
          <w:color w:val="auto"/>
        </w:rPr>
        <w:t>研发投入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，分值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40分；</w:t>
      </w:r>
      <w:r>
        <w:rPr>
          <w:rFonts w:hint="eastAsia" w:ascii="仿宋_GB2312" w:hAnsi="仿宋_GB2312" w:eastAsia="仿宋_GB2312" w:cs="仿宋_GB2312"/>
          <w:color w:val="auto"/>
        </w:rPr>
        <w:t>科技成果产出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，分值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10分；</w:t>
      </w:r>
      <w:r>
        <w:rPr>
          <w:rFonts w:hint="eastAsia" w:ascii="仿宋_GB2312" w:hAnsi="仿宋_GB2312" w:eastAsia="仿宋_GB2312" w:cs="仿宋_GB2312"/>
          <w:color w:val="auto"/>
        </w:rPr>
        <w:t>科技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服务与</w:t>
      </w:r>
      <w:r>
        <w:rPr>
          <w:rFonts w:hint="eastAsia" w:ascii="仿宋_GB2312" w:hAnsi="仿宋_GB2312" w:eastAsia="仿宋_GB2312" w:cs="仿宋_GB2312"/>
          <w:color w:val="auto"/>
        </w:rPr>
        <w:t>成果转化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，分值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40分；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人才队伍建设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分值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10分。一级指标下设二级指标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</w:rPr>
        <w:t>研发投入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包括承担纵向课题实际支出金额和承担横向课题实际支出金额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2项二级指标；</w:t>
      </w:r>
      <w:r>
        <w:rPr>
          <w:rFonts w:hint="eastAsia" w:ascii="仿宋_GB2312" w:hAnsi="仿宋_GB2312" w:eastAsia="仿宋_GB2312" w:cs="仿宋_GB2312"/>
          <w:color w:val="auto"/>
        </w:rPr>
        <w:t>科技成果产出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包括发表SCI论文或专著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I类知识产权数量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2项二级指标；</w:t>
      </w:r>
      <w:r>
        <w:rPr>
          <w:rFonts w:hint="eastAsia" w:ascii="仿宋_GB2312" w:hAnsi="仿宋_GB2312" w:eastAsia="仿宋_GB2312" w:cs="仿宋_GB2312"/>
          <w:color w:val="auto"/>
        </w:rPr>
        <w:t>科技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服务与</w:t>
      </w:r>
      <w:r>
        <w:rPr>
          <w:rFonts w:hint="eastAsia" w:ascii="仿宋_GB2312" w:hAnsi="仿宋_GB2312" w:eastAsia="仿宋_GB2312" w:cs="仿宋_GB2312"/>
          <w:color w:val="auto"/>
        </w:rPr>
        <w:t>成果转化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包括检验检测收入、来自省内检验检测收入、登记技术合同技术交易到位额或作价入股折算金额、运行机时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4项二级指标；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人才队伍建设包括新增A、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B、C、D、E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类人才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5项二级指标。</w:t>
      </w:r>
    </w:p>
    <w:p w14:paraId="54030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（三）评价指标系数与得分计算。每个二级指标对应设有评价指标系数。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根据指标完成值及评价指标系数计算二级指标、一级指标得分，一级指标得分不高于该项指标分值。综合得分为各一级指标得分之和。</w:t>
      </w:r>
    </w:p>
    <w:p w14:paraId="30F8A5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</w:rPr>
        <w:t>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金额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计算。</w:t>
      </w:r>
      <w:r>
        <w:rPr>
          <w:rFonts w:hint="eastAsia" w:ascii="仿宋_GB2312" w:hAnsi="仿宋_GB2312" w:eastAsia="仿宋_GB2312" w:cs="仿宋_GB2312"/>
          <w:color w:val="auto"/>
        </w:rPr>
        <w:t>每年年初对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上一年度进行绩效评价，根据评价结果、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基数确定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金额。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计算公式为：奖励</w:t>
      </w:r>
      <w:r>
        <w:rPr>
          <w:rFonts w:hint="eastAsia" w:ascii="仿宋_GB2312" w:hAnsi="仿宋_GB2312" w:eastAsia="仿宋_GB2312" w:cs="仿宋_GB2312"/>
          <w:color w:val="auto"/>
        </w:rPr>
        <w:t>金额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综合得分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/100×奖励基数。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单个设施每年奖励基数为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1000万元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 w14:paraId="560D17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default" w:ascii="Times New Roman" w:hAnsi="Times New Roman" w:eastAsia="黑体" w:cs="Times New Roman"/>
          <w:color w:val="auto"/>
        </w:rPr>
        <w:t>三、工作流程</w:t>
      </w:r>
    </w:p>
    <w:p w14:paraId="3D2A88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eastAsia" w:ascii="仿宋_GB2312" w:hAnsi="仿宋_GB2312" w:eastAsia="仿宋_GB2312" w:cs="仿宋_GB2312"/>
          <w:color w:val="auto"/>
        </w:rPr>
        <w:t>（一）省科技厅下达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年度运行报告填报通知。</w:t>
      </w:r>
    </w:p>
    <w:p w14:paraId="5ECFC6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　　（二）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依托单位在省科技创新服务平台填报年度运行报告、绩效评价表并上传相关佐证材料。</w:t>
      </w:r>
    </w:p>
    <w:p w14:paraId="4A4CC1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（三）省科技厅对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年度运行报告、绩效评价表及佐证材料进行形式审查。</w:t>
      </w:r>
    </w:p>
    <w:p w14:paraId="3B1BF0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（四）省科技厅组织专家对相关数据进行审核。</w:t>
      </w:r>
    </w:p>
    <w:p w14:paraId="538727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（五）省科技厅依据专家审核后的数据，计算绩效评价得分，根据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基数及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比例确定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金额。</w:t>
      </w:r>
    </w:p>
    <w:p w14:paraId="472B6A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（六）在省科技厅门户网站公示5个工作日。公示无异议后，省科技厅会同省财政厅向省政府联合呈报资金请示，按规定履行资金拨付程序。</w:t>
      </w:r>
    </w:p>
    <w:p w14:paraId="3E4CF0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四、资金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分配与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使用</w:t>
      </w:r>
    </w:p>
    <w:p w14:paraId="4561E0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负责根据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绩效评价情况等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提出资金测算分配方案，与省财政厅会签后履行报省政府审批程序。</w:t>
      </w:r>
    </w:p>
    <w:p w14:paraId="610DBA9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省财政厅负责配合省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厅履行报省政府审批程序，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lang w:val="en-US" w:eastAsia="zh-CN" w:bidi="ar"/>
        </w:rPr>
        <w:t>做好资金分配下达工作。</w:t>
      </w:r>
    </w:p>
    <w:p w14:paraId="03DB30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</w:rPr>
        <w:t>依托单位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是奖励资金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使用管理的责任主体，应切实履行主体责任，健全内部管理机制，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合理安排资金支出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，加强全过程预算绩效管理，具体组织预算执行。</w:t>
      </w:r>
    </w:p>
    <w:p w14:paraId="4ACB87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auto"/>
        </w:rPr>
        <w:t>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</w:rPr>
        <w:t>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资金的支付按照国库集中支付有关规定执行；属于政府采购范围的，按照政府采购有关法律制度规定执行；使用专项资金取得的资产，按照国有资产管理有关规定统一管理。</w:t>
      </w:r>
    </w:p>
    <w:p w14:paraId="0F36C6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资金纳入</w:t>
      </w:r>
      <w:r>
        <w:rPr>
          <w:rFonts w:hint="eastAsia" w:ascii="仿宋_GB2312" w:hAnsi="仿宋_GB2312" w:eastAsia="仿宋_GB2312" w:cs="仿宋_GB2312"/>
          <w:color w:val="auto"/>
          <w:lang w:val="e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依托单位财务统一管理，严格执行预算管理有关要求，单独核算、专款专用、注重绩效。资金支出科目参照《黑龙江省财政厅等10部门关于印发〈关于改革完善省级财政科研经费管理的措施〉的通知》（黑财教〔2021〕100号）执行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资金主要用于</w:t>
      </w:r>
      <w:r>
        <w:rPr>
          <w:rFonts w:hint="eastAsia" w:ascii="仿宋_GB2312" w:hAnsi="仿宋_GB2312" w:eastAsia="仿宋_GB2312" w:cs="仿宋_GB2312"/>
          <w:color w:val="auto"/>
          <w:lang w:val="e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的研发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、科技服务与成果转化投入</w:t>
      </w:r>
      <w:r>
        <w:rPr>
          <w:rFonts w:hint="eastAsia" w:ascii="仿宋_GB2312" w:hAnsi="仿宋_GB2312" w:eastAsia="仿宋_GB2312" w:cs="仿宋_GB2312"/>
          <w:color w:val="auto"/>
        </w:rPr>
        <w:t>、专用仪器设备购置。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资金不得用于财政供养单位人员福利、公用经费、机构运转经费等支出，不得用于楼堂馆所等基建工程支出，不得支付各种罚款、捐款、赞助、投资、偿还债务等支出，以及国家规定禁止列支的其他支出。</w:t>
      </w:r>
    </w:p>
    <w:p w14:paraId="7F0047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</w:rPr>
        <w:t>）依托单位要合理制定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资金支出计划，加快资金支出进度，提高资金使用效率。</w:t>
      </w:r>
    </w:p>
    <w:p w14:paraId="065FC3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</w:rPr>
        <w:t>依托单位要将项目纳入单位科技项目统计归集，严格履行R&amp;D统计填报义务，如发生漏报，省科技厅将视情况取消</w:t>
      </w:r>
      <w:r>
        <w:rPr>
          <w:rFonts w:hint="eastAsia" w:ascii="仿宋_GB2312" w:hAnsi="仿宋_GB2312" w:eastAsia="仿宋_GB2312" w:cs="仿宋_GB2312"/>
          <w:color w:val="auto"/>
          <w:lang w:val="en"/>
        </w:rPr>
        <w:t>设施</w:t>
      </w:r>
      <w:r>
        <w:rPr>
          <w:rFonts w:hint="eastAsia" w:ascii="仿宋_GB2312" w:hAnsi="仿宋_GB2312" w:eastAsia="仿宋_GB2312" w:cs="仿宋_GB2312"/>
          <w:color w:val="auto"/>
        </w:rPr>
        <w:t>下一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</w:rPr>
        <w:t>周期获得资金支持资格。</w:t>
      </w:r>
    </w:p>
    <w:p w14:paraId="2A4ED1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</w:rPr>
        <w:t>、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绩效</w:t>
      </w:r>
      <w:r>
        <w:rPr>
          <w:rFonts w:hint="default" w:ascii="Times New Roman" w:hAnsi="Times New Roman" w:eastAsia="黑体" w:cs="Times New Roman"/>
          <w:color w:val="auto"/>
        </w:rPr>
        <w:t>管理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与财会监督</w:t>
      </w:r>
    </w:p>
    <w:p w14:paraId="666C2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（一）省财政厅负责督促指导省科技厅开展预算绩效管理工作。省科技厅负责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全过程绩效管理，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组织开展资金绩效目标管理、绩效运行监控、部门绩效评价等绩效管理工作。资金使用单位负责对照绩效目标做好绩效运行监控工作，及时开展绩效自评价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，确保绩效目标如期实现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 w14:paraId="2DE02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（二）加强事前绩效目标管理。省科技厅根据政策目标和</w:t>
      </w:r>
      <w:r>
        <w:rPr>
          <w:rFonts w:hint="default" w:ascii="Times New Roman" w:hAnsi="Times New Roman" w:eastAsia="仿宋_GB2312" w:cs="Times New Roman"/>
          <w:color w:val="auto"/>
          <w:lang w:val="en"/>
        </w:rPr>
        <w:t>设施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转化应用导向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，组织设定可量化、可衡量、可定性并且符合设施特点以及具备产出效果的绩效目标，作为绩效管理的必要性条件。</w:t>
      </w:r>
    </w:p>
    <w:p w14:paraId="414C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三）加强事中绩效运行监控。预算执行中，省科技厅按要求开展绩效监控，对绩效目标实现程度和预算执行进度开展“双监控”，对监控中发现政策导向偏离绩效目标及管理漏洞等情况，依据有关规定采取提醒、督导等措施予以纠正。</w:t>
      </w:r>
    </w:p>
    <w:p w14:paraId="2BF9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（四）加强事后绩效评价。</w:t>
      </w:r>
      <w:r>
        <w:rPr>
          <w:rFonts w:hint="eastAsia" w:asci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省科技厅负责对照绩效目标做好事后绩效评价工作，聚焦投入产出效益，对政策实施效果和资金使用情况开展“双评价”，提升绩效评价质量和实效。健全评价指标体系，包括但不限于将转化科技成果、技术合同成交额等指标作为产出效益评价重点。</w:t>
      </w:r>
    </w:p>
    <w:p w14:paraId="10F24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（五）加强绩效评价结果应用。将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绩效评价结果作为政策调整、预算安排和资金分配的重要依据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，形成绩效评价闭环管理机制。对于产出效益未达到预期的，对政策延续实施的必要性开展评估，根据评估结果提出应用措施。</w:t>
      </w:r>
    </w:p>
    <w:p w14:paraId="61868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省财政厅要加强对资金分配、拨付情况的管理。省科技厅要加强对资金使用等情况的监督，严格支出管理和财务管理等。各资金使用单位要按照有关财务制度规定管理和使用资金，按照统一会计制度进行会计核算，加强对资金的日常监督，并接受财政、审计等部门的监督。</w:t>
      </w:r>
    </w:p>
    <w:p w14:paraId="5A09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依托单位应如实填写年度运行报告、绩效评价表，并提供相应佐证材料，通过弄虚作假手段获取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奖励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，一经发现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由省科技厅收回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奖励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资金上缴省级国库。情节严重的，有关责任人将记入科研诚信名单，涉及违法行为的，省科技厅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将商有关部门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依法追究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其相应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责任。</w:t>
      </w:r>
    </w:p>
    <w:bookmarkEnd w:id="0"/>
    <w:p w14:paraId="1976FB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　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</w:rPr>
        <w:t>、附则</w:t>
      </w:r>
    </w:p>
    <w:p w14:paraId="409626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　</w:t>
      </w:r>
      <w:r>
        <w:rPr>
          <w:rFonts w:hint="eastAsia" w:ascii="仿宋_GB2312" w:hAnsi="仿宋_GB2312" w:eastAsia="仿宋_GB2312" w:cs="仿宋_GB2312"/>
          <w:color w:val="auto"/>
        </w:rPr>
        <w:t>　（一）本细则由省科技厅会同省财政厅负责解释。</w:t>
      </w:r>
    </w:p>
    <w:p w14:paraId="334D73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（二）本细则自发布之日起施行，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期5年。</w:t>
      </w:r>
    </w:p>
    <w:p w14:paraId="672D0B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72B3B7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</w:rPr>
        <w:t>附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</w:rPr>
        <w:t>：国家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重大科技基础</w:t>
      </w:r>
      <w:r>
        <w:rPr>
          <w:rFonts w:hint="default" w:ascii="Times New Roman" w:hAnsi="Times New Roman" w:eastAsia="仿宋_GB2312" w:cs="Times New Roman"/>
          <w:color w:val="auto"/>
          <w:lang w:val="en"/>
        </w:rPr>
        <w:t>设施</w:t>
      </w:r>
      <w:r>
        <w:rPr>
          <w:rFonts w:hint="default" w:ascii="Times New Roman" w:hAnsi="Times New Roman" w:eastAsia="仿宋_GB2312" w:cs="Times New Roman"/>
          <w:color w:val="auto"/>
        </w:rPr>
        <w:t>绩效评价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指标体系</w:t>
      </w:r>
    </w:p>
    <w:p w14:paraId="5C7E1433">
      <w:pPr>
        <w:rPr>
          <w:rFonts w:hint="eastAsia" w:ascii="Times New Roman" w:hAnsi="Times New Roman" w:eastAsia="仿宋_GB2312" w:cs="Times New Roman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lang w:eastAsia="zh-CN"/>
        </w:rPr>
        <w:br w:type="page"/>
      </w:r>
    </w:p>
    <w:p w14:paraId="288FCB75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4038719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重大科技基础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/>
        </w:rPr>
        <w:t>设施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指标体系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06"/>
        <w:gridCol w:w="760"/>
        <w:gridCol w:w="2403"/>
        <w:gridCol w:w="933"/>
        <w:gridCol w:w="952"/>
      </w:tblGrid>
      <w:tr w14:paraId="2FBC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7EF3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  <w:p w14:paraId="6167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评价指标系数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  <w:p w14:paraId="6F9D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  <w:p w14:paraId="2874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444C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  <w:p w14:paraId="5C36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38D2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</w:t>
            </w:r>
          </w:p>
          <w:p w14:paraId="7C59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投入</w:t>
            </w:r>
          </w:p>
          <w:p w14:paraId="196E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承担纵向课题实际支出金额（万元）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每400万元：1分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5AF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0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承担横向课题实际支出金额（万元）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每400万元：1分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8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68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  <w:p w14:paraId="151F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  <w:p w14:paraId="459E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 w14:paraId="4474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发表SCI论文或专著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每篇（部）：0.1分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9A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类知识产权数量（项）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每项：0.1分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38A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  <w:p w14:paraId="6D5C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服务与成果</w:t>
            </w:r>
          </w:p>
          <w:p w14:paraId="3983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</w:t>
            </w:r>
          </w:p>
          <w:p w14:paraId="05AE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检验检测收入（万元）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每200万元：1分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F65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来自省内检验检测收入（万元）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每50万元：1分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A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16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登记技术合同技术交易到位额或作价入股折算金额（万元）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每50万元：1分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4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C0B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运行机时（小时）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每3000小时：1分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A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29A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</w:t>
            </w:r>
          </w:p>
          <w:p w14:paraId="33E8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  <w:p w14:paraId="1391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 w14:paraId="2444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新增A类人才（人）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每人：5分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36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新增B类人才（人）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每人：4分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A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1D9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2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新增C类人才（人）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每人：3分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09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新增D类人才（人）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每人：2分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0E0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新增E类人才（人）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每人：1分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440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" w:eastAsia="zh-CN"/>
              </w:rPr>
              <w:t>综合得分</w:t>
            </w:r>
          </w:p>
        </w:tc>
        <w:tc>
          <w:tcPr>
            <w:tcW w:w="34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综合得分为各一级指标得分之和，满分100分；各一级指标得分不高于该项指标分值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 w14:paraId="1CAAC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0D1EB4A">
      <w:pPr>
        <w:pStyle w:val="3"/>
        <w:rPr>
          <w:rFonts w:hint="eastAsia"/>
          <w:color w:val="auto"/>
          <w:lang w:eastAsia="zh-CN"/>
        </w:rPr>
      </w:pPr>
    </w:p>
    <w:sectPr>
      <w:footerReference r:id="rId3" w:type="default"/>
      <w:pgSz w:w="11906" w:h="16838"/>
      <w:pgMar w:top="2268" w:right="141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61E7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BF77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BF77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WRmN2NiNjRlOWI1MDdjZmU5NWY0OTkwMjE2MzgifQ=="/>
  </w:docVars>
  <w:rsids>
    <w:rsidRoot w:val="00863D11"/>
    <w:rsid w:val="00666CFF"/>
    <w:rsid w:val="00863D11"/>
    <w:rsid w:val="02833D81"/>
    <w:rsid w:val="0F613CB6"/>
    <w:rsid w:val="117D686A"/>
    <w:rsid w:val="12E1315E"/>
    <w:rsid w:val="163D1A45"/>
    <w:rsid w:val="16E612F9"/>
    <w:rsid w:val="17D3753C"/>
    <w:rsid w:val="1B4F4EDD"/>
    <w:rsid w:val="257638ED"/>
    <w:rsid w:val="275A1A78"/>
    <w:rsid w:val="27980B78"/>
    <w:rsid w:val="2C8A4A0F"/>
    <w:rsid w:val="2D61249E"/>
    <w:rsid w:val="2DB022C4"/>
    <w:rsid w:val="2EB05920"/>
    <w:rsid w:val="31C84771"/>
    <w:rsid w:val="3270099F"/>
    <w:rsid w:val="340B4715"/>
    <w:rsid w:val="372C3815"/>
    <w:rsid w:val="38C24F5E"/>
    <w:rsid w:val="39050C9C"/>
    <w:rsid w:val="3B240EF7"/>
    <w:rsid w:val="3BAB0D0E"/>
    <w:rsid w:val="3D370EFA"/>
    <w:rsid w:val="3F9F5945"/>
    <w:rsid w:val="3FAE23FE"/>
    <w:rsid w:val="4C43414F"/>
    <w:rsid w:val="4F8D6993"/>
    <w:rsid w:val="51A22A81"/>
    <w:rsid w:val="55494BFA"/>
    <w:rsid w:val="56835DAD"/>
    <w:rsid w:val="5B9BF2D5"/>
    <w:rsid w:val="5C11209A"/>
    <w:rsid w:val="5DB7BE0C"/>
    <w:rsid w:val="5FD6D79A"/>
    <w:rsid w:val="6C9D7BD5"/>
    <w:rsid w:val="6FBAFBA9"/>
    <w:rsid w:val="6FDBDCA3"/>
    <w:rsid w:val="72E8617E"/>
    <w:rsid w:val="7762336C"/>
    <w:rsid w:val="77A7EBE7"/>
    <w:rsid w:val="77AFC278"/>
    <w:rsid w:val="7825692D"/>
    <w:rsid w:val="7B987F6A"/>
    <w:rsid w:val="7DB523D2"/>
    <w:rsid w:val="7EF0195D"/>
    <w:rsid w:val="E1BE9A92"/>
    <w:rsid w:val="EF477746"/>
    <w:rsid w:val="F9FE81B4"/>
    <w:rsid w:val="FC9D9F1D"/>
    <w:rsid w:val="FD5FF808"/>
    <w:rsid w:val="FE3802E0"/>
    <w:rsid w:val="FFB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100" w:afterLines="100" w:line="480" w:lineRule="exact"/>
      <w:jc w:val="center"/>
      <w:outlineLvl w:val="1"/>
    </w:pPr>
    <w:rPr>
      <w:rFonts w:ascii="Calibri Light" w:hAnsi="Calibri Light" w:eastAsia="黑体"/>
      <w:bCs/>
      <w:color w:val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cs="Times New Roman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2682</Words>
  <Characters>2730</Characters>
  <Lines>10</Lines>
  <Paragraphs>2</Paragraphs>
  <TotalTime>7</TotalTime>
  <ScaleCrop>false</ScaleCrop>
  <LinksUpToDate>false</LinksUpToDate>
  <CharactersWithSpaces>2757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2024-03-30T02:02:00Z</dcterms:created>
  <dc:creator>li</dc:creator>
  <cp:lastModifiedBy>赵宣贺</cp:lastModifiedBy>
  <cp:lastPrinted>2024-08-20T17:26:00Z</cp:lastPrinted>
  <dcterms:modified xsi:type="dcterms:W3CDTF">2024-08-20T09:36:06Z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00A4E703697B4C209E51995DED1747D7</vt:lpwstr>
  </property>
</Properties>
</file>