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4C391">
      <w:pPr>
        <w:keepNext w:val="0"/>
        <w:keepLines w:val="0"/>
        <w:pageBreakBefore w:val="0"/>
        <w:widowControl w:val="0"/>
        <w:kinsoku/>
        <w:wordWrap/>
        <w:overflowPunct/>
        <w:topLinePunct w:val="0"/>
        <w:autoSpaceDE/>
        <w:autoSpaceDN/>
        <w:bidi w:val="0"/>
        <w:snapToGrid w:val="0"/>
        <w:spacing w:line="560" w:lineRule="exact"/>
        <w:textAlignment w:val="auto"/>
        <w:rPr>
          <w:rFonts w:ascii="方正黑体_GBK" w:eastAsia="方正黑体_GBK" w:cs="Times New Roman"/>
          <w:color w:val="auto"/>
          <w:sz w:val="32"/>
          <w:szCs w:val="32"/>
          <w:highlight w:val="none"/>
          <w:u w:val="none"/>
        </w:rPr>
      </w:pPr>
      <w:bookmarkStart w:id="0" w:name="_GoBack"/>
      <w:bookmarkEnd w:id="0"/>
      <w:r>
        <w:rPr>
          <w:rFonts w:hint="eastAsia" w:ascii="方正黑体_GBK" w:eastAsia="方正黑体_GBK" w:cs="Times New Roman"/>
          <w:color w:val="auto"/>
          <w:sz w:val="32"/>
          <w:szCs w:val="32"/>
          <w:highlight w:val="none"/>
          <w:u w:val="none"/>
        </w:rPr>
        <w:t>附件</w:t>
      </w:r>
    </w:p>
    <w:p w14:paraId="43CE4530">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p w14:paraId="786574B2">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Times New Roman" w:hAnsi="Times New Roman" w:eastAsia="方正小标宋简体" w:cs="Times New Roman"/>
          <w:color w:val="auto"/>
          <w:sz w:val="44"/>
          <w:szCs w:val="44"/>
          <w:highlight w:val="none"/>
          <w:u w:val="none"/>
        </w:rPr>
      </w:pPr>
      <w:r>
        <w:rPr>
          <w:rFonts w:ascii="Times New Roman" w:hAnsi="Times New Roman" w:eastAsia="方正小标宋简体" w:cs="Times New Roman"/>
          <w:color w:val="auto"/>
          <w:sz w:val="44"/>
          <w:szCs w:val="44"/>
          <w:highlight w:val="none"/>
          <w:u w:val="none"/>
        </w:rPr>
        <w:t>黑龙江省高新技术企业担保代偿补偿实施细则</w:t>
      </w:r>
    </w:p>
    <w:p w14:paraId="047A23F6">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Times New Roman" w:hAnsi="Times New Roman" w:eastAsia="楷体" w:cs="Times New Roman"/>
          <w:color w:val="auto"/>
          <w:sz w:val="32"/>
          <w:szCs w:val="32"/>
          <w:highlight w:val="none"/>
          <w:u w:val="none"/>
        </w:rPr>
      </w:pPr>
      <w:r>
        <w:rPr>
          <w:rFonts w:ascii="Times New Roman" w:hAnsi="Times New Roman" w:eastAsia="楷体" w:cs="Times New Roman"/>
          <w:color w:val="auto"/>
          <w:sz w:val="32"/>
          <w:szCs w:val="32"/>
          <w:highlight w:val="none"/>
          <w:u w:val="none"/>
        </w:rPr>
        <w:t>（征求意见稿）</w:t>
      </w:r>
    </w:p>
    <w:p w14:paraId="7E059E95">
      <w:pPr>
        <w:pStyle w:val="2"/>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cs="Times New Roman"/>
          <w:color w:val="auto"/>
          <w:highlight w:val="none"/>
          <w:u w:val="none"/>
        </w:rPr>
      </w:pPr>
    </w:p>
    <w:p w14:paraId="5E22063A">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仿宋" w:cs="Times New Roman"/>
          <w:color w:val="auto"/>
          <w:sz w:val="32"/>
          <w:szCs w:val="32"/>
          <w:highlight w:val="none"/>
          <w:u w:val="none"/>
          <w:shd w:val="clear" w:color="auto" w:fill="FFFFFF"/>
        </w:rPr>
      </w:pPr>
      <w:r>
        <w:rPr>
          <w:rFonts w:ascii="Times New Roman" w:hAnsi="Times New Roman" w:eastAsia="黑体" w:cs="Times New Roman"/>
          <w:color w:val="auto"/>
          <w:sz w:val="32"/>
          <w:szCs w:val="32"/>
          <w:highlight w:val="none"/>
          <w:u w:val="none"/>
        </w:rPr>
        <w:t xml:space="preserve">第一条 </w:t>
      </w:r>
      <w:r>
        <w:rPr>
          <w:rFonts w:ascii="Times New Roman" w:hAnsi="Times New Roman" w:eastAsia="仿宋_GB2312" w:cs="Times New Roman"/>
          <w:color w:val="auto"/>
          <w:sz w:val="32"/>
          <w:szCs w:val="32"/>
          <w:highlight w:val="none"/>
          <w:u w:val="none"/>
        </w:rPr>
        <w:t>为落实</w:t>
      </w:r>
      <w:r>
        <w:rPr>
          <w:rFonts w:ascii="Times New Roman" w:hAnsi="Times New Roman" w:eastAsia="仿宋_GB2312" w:cs="Times New Roman"/>
          <w:color w:val="auto"/>
          <w:sz w:val="32"/>
          <w:szCs w:val="32"/>
          <w:highlight w:val="none"/>
          <w:u w:val="none"/>
          <w:lang w:eastAsia="zh-CN"/>
        </w:rPr>
        <w:t>财政部《关于实施科技创新专项担保计划的通</w:t>
      </w:r>
      <w:r>
        <w:rPr>
          <w:rFonts w:hint="eastAsia" w:ascii="仿宋_GB2312" w:hAnsi="仿宋_GB2312" w:eastAsia="仿宋_GB2312" w:cs="仿宋_GB2312"/>
          <w:color w:val="auto"/>
          <w:sz w:val="32"/>
          <w:szCs w:val="32"/>
          <w:highlight w:val="none"/>
          <w:u w:val="none"/>
          <w:lang w:eastAsia="zh-CN"/>
        </w:rPr>
        <w:t>知》（财金〔20</w:t>
      </w:r>
      <w:r>
        <w:rPr>
          <w:rFonts w:hint="eastAsia" w:ascii="仿宋_GB2312" w:hAnsi="仿宋_GB2312" w:eastAsia="仿宋_GB2312" w:cs="仿宋_GB2312"/>
          <w:color w:val="auto"/>
          <w:sz w:val="32"/>
          <w:szCs w:val="32"/>
          <w:highlight w:val="none"/>
          <w:u w:val="none"/>
          <w:lang w:val="en-US" w:eastAsia="zh-CN"/>
        </w:rPr>
        <w:t>24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60号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r>
        <w:rPr>
          <w:rFonts w:ascii="Times New Roman" w:hAnsi="Times New Roman" w:eastAsia="仿宋_GB2312" w:cs="Times New Roman"/>
          <w:color w:val="auto"/>
          <w:sz w:val="32"/>
          <w:szCs w:val="32"/>
          <w:highlight w:val="none"/>
          <w:u w:val="none"/>
        </w:rPr>
        <w:t>黑龙江省加大力度支持科技型企业融资行动实施方案》</w:t>
      </w:r>
      <w:r>
        <w:rPr>
          <w:rFonts w:hint="eastAsia" w:ascii="仿宋_GB2312" w:hAnsi="仿宋_GB2312" w:eastAsia="仿宋_GB2312" w:cs="仿宋_GB2312"/>
          <w:color w:val="auto"/>
          <w:sz w:val="32"/>
          <w:szCs w:val="32"/>
          <w:highlight w:val="none"/>
          <w:u w:val="none"/>
        </w:rPr>
        <w:t>（黑政办发</w:t>
      </w:r>
      <w:r>
        <w:rPr>
          <w:rFonts w:hint="eastAsia" w:ascii="仿宋_GB2312" w:hAnsi="仿宋_GB2312" w:eastAsia="仿宋_GB2312" w:cs="仿宋_GB2312"/>
          <w:color w:val="auto"/>
          <w:sz w:val="32"/>
          <w:szCs w:val="32"/>
          <w:highlight w:val="none"/>
          <w:u w:val="none"/>
          <w:lang w:eastAsia="zh-CN"/>
        </w:rPr>
        <w:t>〔20</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3〕</w:t>
      </w:r>
      <w:r>
        <w:rPr>
          <w:rFonts w:hint="eastAsia" w:ascii="仿宋_GB2312" w:hAnsi="仿宋_GB2312" w:eastAsia="仿宋_GB2312" w:cs="仿宋_GB2312"/>
          <w:color w:val="auto"/>
          <w:sz w:val="32"/>
          <w:szCs w:val="32"/>
          <w:highlight w:val="none"/>
          <w:u w:val="none"/>
        </w:rPr>
        <w:t>44号）</w:t>
      </w:r>
      <w:r>
        <w:rPr>
          <w:rFonts w:ascii="Times New Roman" w:hAnsi="Times New Roman" w:eastAsia="仿宋_GB2312" w:cs="Times New Roman"/>
          <w:color w:val="auto"/>
          <w:sz w:val="32"/>
          <w:szCs w:val="32"/>
          <w:highlight w:val="none"/>
          <w:u w:val="none"/>
          <w:lang w:eastAsia="zh-CN"/>
        </w:rPr>
        <w:t>等</w:t>
      </w:r>
      <w:r>
        <w:rPr>
          <w:rFonts w:ascii="Times New Roman" w:hAnsi="Times New Roman" w:eastAsia="仿宋_GB2312" w:cs="Times New Roman"/>
          <w:color w:val="auto"/>
          <w:sz w:val="32"/>
          <w:szCs w:val="32"/>
          <w:highlight w:val="none"/>
          <w:u w:val="none"/>
        </w:rPr>
        <w:t>要求，鼓励融资担保机构</w:t>
      </w:r>
      <w:r>
        <w:rPr>
          <w:rFonts w:ascii="Times New Roman" w:hAnsi="Times New Roman" w:eastAsia="仿宋_GB2312" w:cs="Times New Roman"/>
          <w:color w:val="auto"/>
          <w:sz w:val="32"/>
          <w:szCs w:val="32"/>
          <w:highlight w:val="none"/>
          <w:u w:val="none"/>
          <w:shd w:val="clear" w:color="auto" w:fill="FFFFFF"/>
        </w:rPr>
        <w:t>优化融资担保服务，落实产业振兴行动计划，加大对高成长性、知识密集型企业融资担保支持力度，制定本细则。</w:t>
      </w:r>
    </w:p>
    <w:p w14:paraId="1C42C93E">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仿宋" w:cs="Times New Roman"/>
          <w:color w:val="auto"/>
          <w:sz w:val="32"/>
          <w:szCs w:val="32"/>
          <w:highlight w:val="none"/>
          <w:u w:val="none"/>
          <w:shd w:val="clear" w:color="auto" w:fill="FFFFFF"/>
          <w:lang w:bidi="en-US"/>
        </w:rPr>
      </w:pPr>
      <w:r>
        <w:rPr>
          <w:rFonts w:ascii="Times New Roman" w:hAnsi="Times New Roman" w:eastAsia="黑体" w:cs="Times New Roman"/>
          <w:color w:val="auto"/>
          <w:sz w:val="32"/>
          <w:szCs w:val="32"/>
          <w:highlight w:val="none"/>
          <w:u w:val="none"/>
          <w:shd w:val="clear" w:color="auto" w:fill="FFFFFF"/>
          <w:lang w:bidi="en-US"/>
        </w:rPr>
        <w:t>第</w:t>
      </w:r>
      <w:r>
        <w:rPr>
          <w:rFonts w:ascii="Times New Roman" w:hAnsi="Times New Roman" w:eastAsia="黑体" w:cs="Times New Roman"/>
          <w:color w:val="auto"/>
          <w:sz w:val="32"/>
          <w:szCs w:val="32"/>
          <w:highlight w:val="none"/>
          <w:u w:val="none"/>
          <w:shd w:val="clear" w:color="auto" w:fill="FFFFFF"/>
          <w:lang w:eastAsia="zh-CN" w:bidi="en-US"/>
        </w:rPr>
        <w:t>二</w:t>
      </w:r>
      <w:r>
        <w:rPr>
          <w:rFonts w:ascii="Times New Roman" w:hAnsi="Times New Roman" w:eastAsia="黑体" w:cs="Times New Roman"/>
          <w:color w:val="auto"/>
          <w:sz w:val="32"/>
          <w:szCs w:val="32"/>
          <w:highlight w:val="none"/>
          <w:u w:val="none"/>
          <w:shd w:val="clear" w:color="auto" w:fill="FFFFFF"/>
          <w:lang w:bidi="en-US"/>
        </w:rPr>
        <w:t>条 政策内容</w:t>
      </w:r>
    </w:p>
    <w:p w14:paraId="71B73E92">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ascii="Times New Roman" w:hAnsi="Times New Roman" w:eastAsia="仿宋_GB2312" w:cs="Times New Roman"/>
          <w:b w:val="0"/>
          <w:color w:val="auto"/>
          <w:sz w:val="32"/>
          <w:szCs w:val="32"/>
          <w:highlight w:val="none"/>
          <w:u w:val="none"/>
        </w:rPr>
      </w:pPr>
      <w:r>
        <w:rPr>
          <w:rStyle w:val="13"/>
          <w:rFonts w:ascii="Times New Roman" w:hAnsi="Times New Roman" w:eastAsia="仿宋_GB2312" w:cs="Times New Roman"/>
          <w:b w:val="0"/>
          <w:color w:val="auto"/>
          <w:sz w:val="32"/>
          <w:szCs w:val="32"/>
          <w:highlight w:val="none"/>
          <w:u w:val="none"/>
          <w:lang w:eastAsia="zh-CN"/>
        </w:rPr>
        <w:t>获得专项科技担保产品支持并经过高新技术企业认定的小微企业出现代偿情况，由同级财政对融资担保机构按照实际代偿损失金额</w:t>
      </w:r>
      <w:r>
        <w:rPr>
          <w:rStyle w:val="13"/>
          <w:rFonts w:hint="eastAsia" w:ascii="仿宋_GB2312" w:hAnsi="仿宋_GB2312" w:eastAsia="仿宋_GB2312" w:cs="仿宋_GB2312"/>
          <w:b w:val="0"/>
          <w:color w:val="auto"/>
          <w:sz w:val="32"/>
          <w:szCs w:val="32"/>
          <w:highlight w:val="none"/>
          <w:u w:val="none"/>
          <w:lang w:eastAsia="zh-CN"/>
        </w:rPr>
        <w:t>的</w:t>
      </w:r>
      <w:r>
        <w:rPr>
          <w:rStyle w:val="13"/>
          <w:rFonts w:hint="eastAsia" w:ascii="仿宋_GB2312" w:hAnsi="仿宋_GB2312" w:eastAsia="仿宋_GB2312" w:cs="仿宋_GB2312"/>
          <w:b w:val="0"/>
          <w:color w:val="auto"/>
          <w:sz w:val="32"/>
          <w:szCs w:val="32"/>
          <w:highlight w:val="none"/>
          <w:u w:val="none"/>
          <w:lang w:val="en-US" w:eastAsia="zh-CN"/>
        </w:rPr>
        <w:t>30%进</w:t>
      </w:r>
      <w:r>
        <w:rPr>
          <w:rStyle w:val="13"/>
          <w:rFonts w:ascii="Times New Roman" w:hAnsi="Times New Roman" w:eastAsia="仿宋_GB2312" w:cs="Times New Roman"/>
          <w:b w:val="0"/>
          <w:color w:val="auto"/>
          <w:sz w:val="32"/>
          <w:szCs w:val="32"/>
          <w:highlight w:val="none"/>
          <w:u w:val="none"/>
          <w:lang w:val="en-US" w:eastAsia="zh-CN"/>
        </w:rPr>
        <w:t>行补偿。</w:t>
      </w:r>
    </w:p>
    <w:p w14:paraId="0021F14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auto"/>
          <w:sz w:val="32"/>
          <w:szCs w:val="32"/>
          <w:highlight w:val="none"/>
          <w:u w:val="none"/>
          <w:shd w:val="clear" w:color="auto" w:fill="FFFFFF"/>
        </w:rPr>
      </w:pPr>
      <w:r>
        <w:rPr>
          <w:rFonts w:ascii="Times New Roman" w:hAnsi="Times New Roman" w:eastAsia="黑体" w:cs="Times New Roman"/>
          <w:color w:val="auto"/>
          <w:sz w:val="32"/>
          <w:szCs w:val="32"/>
          <w:highlight w:val="none"/>
          <w:u w:val="none"/>
          <w:shd w:val="clear" w:color="auto" w:fill="FFFFFF"/>
        </w:rPr>
        <w:t>第</w:t>
      </w:r>
      <w:r>
        <w:rPr>
          <w:rFonts w:ascii="Times New Roman" w:hAnsi="Times New Roman" w:eastAsia="黑体" w:cs="Times New Roman"/>
          <w:color w:val="auto"/>
          <w:sz w:val="32"/>
          <w:szCs w:val="32"/>
          <w:highlight w:val="none"/>
          <w:u w:val="none"/>
          <w:shd w:val="clear" w:color="auto" w:fill="FFFFFF"/>
          <w:lang w:eastAsia="zh-CN"/>
        </w:rPr>
        <w:t>三</w:t>
      </w:r>
      <w:r>
        <w:rPr>
          <w:rFonts w:ascii="Times New Roman" w:hAnsi="Times New Roman" w:eastAsia="黑体" w:cs="Times New Roman"/>
          <w:color w:val="auto"/>
          <w:sz w:val="32"/>
          <w:szCs w:val="32"/>
          <w:highlight w:val="none"/>
          <w:u w:val="none"/>
          <w:shd w:val="clear" w:color="auto" w:fill="FFFFFF"/>
        </w:rPr>
        <w:t>条 支持对象</w:t>
      </w:r>
    </w:p>
    <w:p w14:paraId="4F60F886">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ascii="Times New Roman" w:hAnsi="Times New Roman" w:eastAsia="仿宋_GB2312" w:cs="Times New Roman"/>
          <w:b w:val="0"/>
          <w:color w:val="auto"/>
          <w:sz w:val="32"/>
          <w:szCs w:val="32"/>
          <w:highlight w:val="none"/>
          <w:u w:val="none"/>
        </w:rPr>
      </w:pPr>
      <w:r>
        <w:rPr>
          <w:rStyle w:val="13"/>
          <w:rFonts w:ascii="Times New Roman" w:hAnsi="Times New Roman" w:eastAsia="仿宋_GB2312" w:cs="Times New Roman"/>
          <w:b w:val="0"/>
          <w:color w:val="auto"/>
          <w:sz w:val="32"/>
          <w:szCs w:val="32"/>
          <w:highlight w:val="none"/>
          <w:u w:val="none"/>
        </w:rPr>
        <w:t>本细则支持对象是指对全省经过高新技术企业认定的小微企业提供</w:t>
      </w:r>
      <w:r>
        <w:rPr>
          <w:rStyle w:val="13"/>
          <w:rFonts w:ascii="Times New Roman" w:hAnsi="Times New Roman" w:eastAsia="仿宋_GB2312" w:cs="Times New Roman"/>
          <w:b w:val="0"/>
          <w:color w:val="auto"/>
          <w:sz w:val="32"/>
          <w:szCs w:val="32"/>
          <w:highlight w:val="none"/>
          <w:u w:val="none"/>
          <w:lang w:eastAsia="zh-CN"/>
        </w:rPr>
        <w:t>专项科技担保产品并</w:t>
      </w:r>
      <w:r>
        <w:rPr>
          <w:rStyle w:val="13"/>
          <w:rFonts w:ascii="Times New Roman" w:hAnsi="Times New Roman" w:eastAsia="仿宋_GB2312" w:cs="Times New Roman"/>
          <w:b w:val="0"/>
          <w:color w:val="auto"/>
          <w:sz w:val="32"/>
          <w:szCs w:val="32"/>
          <w:highlight w:val="none"/>
          <w:u w:val="none"/>
        </w:rPr>
        <w:t>发生</w:t>
      </w:r>
      <w:r>
        <w:rPr>
          <w:rStyle w:val="13"/>
          <w:rFonts w:ascii="Times New Roman" w:hAnsi="Times New Roman" w:eastAsia="仿宋_GB2312" w:cs="Times New Roman"/>
          <w:b w:val="0"/>
          <w:color w:val="auto"/>
          <w:sz w:val="32"/>
          <w:szCs w:val="32"/>
          <w:highlight w:val="none"/>
          <w:u w:val="none"/>
          <w:lang w:eastAsia="zh-CN"/>
        </w:rPr>
        <w:t>实际</w:t>
      </w:r>
      <w:r>
        <w:rPr>
          <w:rStyle w:val="13"/>
          <w:rFonts w:ascii="Times New Roman" w:hAnsi="Times New Roman" w:eastAsia="仿宋_GB2312" w:cs="Times New Roman"/>
          <w:b w:val="0"/>
          <w:color w:val="auto"/>
          <w:sz w:val="32"/>
          <w:szCs w:val="32"/>
          <w:highlight w:val="none"/>
          <w:u w:val="none"/>
        </w:rPr>
        <w:t>代偿损失的融资担保机构。</w:t>
      </w:r>
    </w:p>
    <w:p w14:paraId="0AA7704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auto"/>
          <w:sz w:val="32"/>
          <w:szCs w:val="32"/>
          <w:highlight w:val="none"/>
          <w:u w:val="none"/>
          <w:shd w:val="clear" w:color="auto" w:fill="FFFFFF"/>
        </w:rPr>
      </w:pPr>
      <w:r>
        <w:rPr>
          <w:rFonts w:ascii="Times New Roman" w:hAnsi="Times New Roman" w:eastAsia="黑体" w:cs="Times New Roman"/>
          <w:color w:val="auto"/>
          <w:sz w:val="32"/>
          <w:szCs w:val="32"/>
          <w:highlight w:val="none"/>
          <w:u w:val="none"/>
          <w:shd w:val="clear" w:color="auto" w:fill="FFFFFF"/>
        </w:rPr>
        <w:t>第</w:t>
      </w:r>
      <w:r>
        <w:rPr>
          <w:rFonts w:ascii="Times New Roman" w:hAnsi="Times New Roman" w:eastAsia="黑体" w:cs="Times New Roman"/>
          <w:color w:val="auto"/>
          <w:sz w:val="32"/>
          <w:szCs w:val="32"/>
          <w:highlight w:val="none"/>
          <w:u w:val="none"/>
          <w:shd w:val="clear" w:color="auto" w:fill="FFFFFF"/>
          <w:lang w:eastAsia="zh-CN"/>
        </w:rPr>
        <w:t>四</w:t>
      </w:r>
      <w:r>
        <w:rPr>
          <w:rFonts w:ascii="Times New Roman" w:hAnsi="Times New Roman" w:eastAsia="黑体" w:cs="Times New Roman"/>
          <w:color w:val="auto"/>
          <w:sz w:val="32"/>
          <w:szCs w:val="32"/>
          <w:highlight w:val="none"/>
          <w:u w:val="none"/>
          <w:shd w:val="clear" w:color="auto" w:fill="FFFFFF"/>
        </w:rPr>
        <w:t>条 支持条件</w:t>
      </w:r>
    </w:p>
    <w:p w14:paraId="2C45C3D0">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ascii="Times New Roman" w:hAnsi="Times New Roman" w:eastAsia="楷体_GB2312" w:cs="Times New Roman"/>
          <w:b w:val="0"/>
          <w:color w:val="auto"/>
          <w:sz w:val="32"/>
          <w:szCs w:val="32"/>
          <w:highlight w:val="none"/>
          <w:u w:val="none"/>
        </w:rPr>
      </w:pPr>
      <w:r>
        <w:rPr>
          <w:rStyle w:val="13"/>
          <w:rFonts w:ascii="Times New Roman" w:hAnsi="Times New Roman" w:eastAsia="楷体_GB2312" w:cs="Times New Roman"/>
          <w:b w:val="0"/>
          <w:color w:val="auto"/>
          <w:sz w:val="32"/>
          <w:szCs w:val="32"/>
          <w:highlight w:val="none"/>
          <w:u w:val="none"/>
        </w:rPr>
        <w:t>（一）申报风险补偿资金的融资担保机构应符合以下条件：</w:t>
      </w:r>
    </w:p>
    <w:p w14:paraId="7F463F4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在黑龙江省行政区域内依法登记注册，具有独立法人资格；</w:t>
      </w:r>
    </w:p>
    <w:p w14:paraId="27B2ACA8">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hint="eastAsia" w:ascii="仿宋_GB2312" w:hAnsi="仿宋_GB2312" w:eastAsia="仿宋_GB2312" w:cs="仿宋_GB2312"/>
          <w:b w:val="0"/>
          <w:color w:val="auto"/>
          <w:sz w:val="32"/>
          <w:szCs w:val="32"/>
          <w:highlight w:val="none"/>
          <w:u w:val="none"/>
          <w:lang w:val="en-US" w:eastAsia="zh-CN"/>
        </w:rPr>
      </w:pPr>
      <w:r>
        <w:rPr>
          <w:rStyle w:val="13"/>
          <w:rFonts w:hint="eastAsia" w:ascii="仿宋_GB2312" w:hAnsi="仿宋_GB2312" w:eastAsia="仿宋_GB2312" w:cs="仿宋_GB2312"/>
          <w:b w:val="0"/>
          <w:color w:val="auto"/>
          <w:sz w:val="32"/>
          <w:szCs w:val="32"/>
          <w:highlight w:val="none"/>
          <w:u w:val="none"/>
          <w:lang w:val="en-US" w:eastAsia="zh-CN"/>
        </w:rPr>
        <w:t>2.未被列入经营异常名录或失信主体名单；</w:t>
      </w:r>
    </w:p>
    <w:p w14:paraId="7C564432">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hint="eastAsia" w:ascii="仿宋_GB2312" w:hAnsi="仿宋_GB2312" w:eastAsia="仿宋_GB2312" w:cs="仿宋_GB2312"/>
          <w:b w:val="0"/>
          <w:color w:val="auto"/>
          <w:sz w:val="32"/>
          <w:szCs w:val="32"/>
          <w:highlight w:val="none"/>
          <w:u w:val="none"/>
        </w:rPr>
      </w:pPr>
      <w:r>
        <w:rPr>
          <w:rStyle w:val="13"/>
          <w:rFonts w:hint="eastAsia" w:ascii="仿宋_GB2312" w:hAnsi="仿宋_GB2312" w:eastAsia="仿宋_GB2312" w:cs="仿宋_GB2312"/>
          <w:b w:val="0"/>
          <w:color w:val="auto"/>
          <w:sz w:val="32"/>
          <w:szCs w:val="32"/>
          <w:highlight w:val="none"/>
          <w:u w:val="none"/>
          <w:lang w:val="en-US" w:eastAsia="zh-CN"/>
        </w:rPr>
        <w:t>3</w:t>
      </w:r>
      <w:r>
        <w:rPr>
          <w:rStyle w:val="13"/>
          <w:rFonts w:hint="eastAsia" w:ascii="仿宋_GB2312" w:hAnsi="仿宋_GB2312" w:eastAsia="仿宋_GB2312" w:cs="仿宋_GB2312"/>
          <w:b w:val="0"/>
          <w:color w:val="auto"/>
          <w:sz w:val="32"/>
          <w:szCs w:val="32"/>
          <w:highlight w:val="none"/>
          <w:u w:val="none"/>
        </w:rPr>
        <w:t>.研发创新专项科技担保产品；</w:t>
      </w:r>
    </w:p>
    <w:p w14:paraId="3905D3C9">
      <w:pPr>
        <w:pStyle w:val="2"/>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color w:val="auto"/>
          <w:sz w:val="32"/>
          <w:szCs w:val="32"/>
          <w:highlight w:val="none"/>
          <w:u w:val="none"/>
          <w:shd w:val="clear" w:color="auto" w:fill="FFFFFF"/>
        </w:rPr>
      </w:pPr>
      <w:r>
        <w:rPr>
          <w:rStyle w:val="13"/>
          <w:rFonts w:hint="eastAsia" w:ascii="仿宋_GB2312" w:hAnsi="仿宋_GB2312" w:eastAsia="仿宋_GB2312" w:cs="仿宋_GB2312"/>
          <w:b w:val="0"/>
          <w:color w:val="auto"/>
          <w:sz w:val="32"/>
          <w:szCs w:val="32"/>
          <w:highlight w:val="none"/>
          <w:u w:val="none"/>
          <w:lang w:val="en-US" w:eastAsia="zh-CN"/>
        </w:rPr>
        <w:t>4</w:t>
      </w:r>
      <w:r>
        <w:rPr>
          <w:rStyle w:val="13"/>
          <w:rFonts w:hint="eastAsia" w:ascii="仿宋_GB2312" w:hAnsi="仿宋_GB2312" w:eastAsia="仿宋_GB2312" w:cs="仿宋_GB2312"/>
          <w:b w:val="0"/>
          <w:color w:val="auto"/>
          <w:sz w:val="32"/>
          <w:szCs w:val="32"/>
          <w:highlight w:val="none"/>
          <w:u w:val="none"/>
        </w:rPr>
        <w:t>.对经过高新技术企业认定的小微企业融资担保费率不超过1％/年</w:t>
      </w:r>
      <w:r>
        <w:rPr>
          <w:rFonts w:hint="eastAsia" w:ascii="仿宋_GB2312" w:hAnsi="仿宋_GB2312" w:eastAsia="仿宋_GB2312" w:cs="仿宋_GB2312"/>
          <w:color w:val="auto"/>
          <w:sz w:val="32"/>
          <w:szCs w:val="32"/>
          <w:highlight w:val="none"/>
          <w:u w:val="none"/>
          <w:shd w:val="clear" w:color="auto" w:fill="FFFFFF"/>
        </w:rPr>
        <w:t>；</w:t>
      </w:r>
    </w:p>
    <w:p w14:paraId="50A62510">
      <w:pPr>
        <w:pStyle w:val="2"/>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color w:val="auto"/>
          <w:highlight w:val="none"/>
          <w:u w:val="none"/>
          <w:lang w:val="en-US" w:eastAsia="zh-CN"/>
        </w:rPr>
      </w:pPr>
      <w:r>
        <w:rPr>
          <w:rStyle w:val="13"/>
          <w:rFonts w:hint="eastAsia" w:ascii="仿宋_GB2312" w:hAnsi="仿宋_GB2312" w:eastAsia="仿宋_GB2312" w:cs="仿宋_GB2312"/>
          <w:b w:val="0"/>
          <w:color w:val="auto"/>
          <w:sz w:val="32"/>
          <w:szCs w:val="32"/>
          <w:highlight w:val="none"/>
          <w:u w:val="none"/>
          <w:lang w:val="en-US" w:eastAsia="zh-CN"/>
        </w:rPr>
        <w:t>5.纳入黑龙江省政府性融资担保机构名单；</w:t>
      </w:r>
    </w:p>
    <w:p w14:paraId="07BDF54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lang w:eastAsia="zh-CN"/>
        </w:rPr>
        <w:t>6</w:t>
      </w:r>
      <w:r>
        <w:rPr>
          <w:rFonts w:hint="eastAsia" w:ascii="仿宋_GB2312" w:hAnsi="仿宋_GB2312" w:eastAsia="仿宋_GB2312" w:cs="仿宋_GB2312"/>
          <w:color w:val="auto"/>
          <w:sz w:val="32"/>
          <w:szCs w:val="32"/>
          <w:highlight w:val="none"/>
          <w:u w:val="none"/>
          <w:shd w:val="clear" w:color="auto" w:fill="FFFFFF"/>
        </w:rPr>
        <w:t>.在</w:t>
      </w:r>
      <w:r>
        <w:rPr>
          <w:rFonts w:ascii="Times New Roman" w:hAnsi="Times New Roman" w:eastAsia="仿宋_GB2312" w:cs="Times New Roman"/>
          <w:color w:val="auto"/>
          <w:sz w:val="32"/>
          <w:szCs w:val="32"/>
          <w:highlight w:val="none"/>
          <w:u w:val="none"/>
          <w:shd w:val="clear" w:color="auto" w:fill="FFFFFF"/>
        </w:rPr>
        <w:t>省</w:t>
      </w:r>
      <w:r>
        <w:rPr>
          <w:rFonts w:hint="eastAsia" w:ascii="Times New Roman" w:hAnsi="Times New Roman" w:eastAsia="仿宋_GB2312" w:cs="Times New Roman"/>
          <w:color w:val="auto"/>
          <w:sz w:val="32"/>
          <w:szCs w:val="32"/>
          <w:highlight w:val="none"/>
          <w:u w:val="none"/>
          <w:shd w:val="clear" w:color="auto" w:fill="FFFFFF"/>
          <w:lang w:eastAsia="zh-CN"/>
        </w:rPr>
        <w:t>地方</w:t>
      </w:r>
      <w:r>
        <w:rPr>
          <w:rFonts w:ascii="Times New Roman" w:hAnsi="Times New Roman" w:eastAsia="仿宋_GB2312" w:cs="Times New Roman"/>
          <w:color w:val="auto"/>
          <w:sz w:val="32"/>
          <w:szCs w:val="32"/>
          <w:highlight w:val="none"/>
          <w:u w:val="none"/>
          <w:shd w:val="clear" w:color="auto" w:fill="FFFFFF"/>
        </w:rPr>
        <w:t>金融管理局监管评级为A级。</w:t>
      </w:r>
    </w:p>
    <w:p w14:paraId="12F02D65">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eastAsia="楷体_GB2312" w:cs="Times New Roman"/>
          <w:color w:val="auto"/>
          <w:sz w:val="32"/>
          <w:szCs w:val="32"/>
          <w:highlight w:val="none"/>
          <w:u w:val="none"/>
          <w:shd w:val="clear" w:color="auto" w:fill="FFFFFF"/>
        </w:rPr>
      </w:pPr>
      <w:r>
        <w:rPr>
          <w:rFonts w:ascii="Times New Roman" w:hAnsi="Times New Roman" w:eastAsia="楷体_GB2312" w:cs="Times New Roman"/>
          <w:color w:val="auto"/>
          <w:sz w:val="32"/>
          <w:szCs w:val="32"/>
          <w:highlight w:val="none"/>
          <w:u w:val="none"/>
          <w:shd w:val="clear" w:color="auto" w:fill="FFFFFF"/>
        </w:rPr>
        <w:t>（二）本细则所称的高新技术企业</w:t>
      </w:r>
      <w:r>
        <w:rPr>
          <w:rFonts w:ascii="Times New Roman" w:hAnsi="Times New Roman" w:eastAsia="楷体_GB2312" w:cs="Times New Roman"/>
          <w:color w:val="auto"/>
          <w:sz w:val="32"/>
          <w:szCs w:val="32"/>
          <w:highlight w:val="none"/>
          <w:u w:val="none"/>
          <w:shd w:val="clear" w:color="auto" w:fill="FFFFFF"/>
          <w:lang w:eastAsia="zh-CN"/>
        </w:rPr>
        <w:t>（即借款企业）</w:t>
      </w:r>
      <w:r>
        <w:rPr>
          <w:rFonts w:ascii="Times New Roman" w:hAnsi="Times New Roman" w:eastAsia="楷体_GB2312" w:cs="Times New Roman"/>
          <w:color w:val="auto"/>
          <w:sz w:val="32"/>
          <w:szCs w:val="32"/>
          <w:highlight w:val="none"/>
          <w:u w:val="none"/>
          <w:shd w:val="clear" w:color="auto" w:fill="FFFFFF"/>
        </w:rPr>
        <w:t>应符合以下条件：</w:t>
      </w:r>
    </w:p>
    <w:p w14:paraId="63623EF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eastAsia="zh-CN"/>
        </w:rPr>
        <w:t>在黑龙江省行政区域内依法登记注册，具有独立法人资格；</w:t>
      </w:r>
    </w:p>
    <w:p w14:paraId="77F8E92F">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hint="eastAsia" w:ascii="仿宋_GB2312" w:hAnsi="仿宋_GB2312" w:eastAsia="仿宋_GB2312" w:cs="仿宋_GB2312"/>
          <w:b w:val="0"/>
          <w:bCs w:val="0"/>
          <w:color w:val="auto"/>
          <w:sz w:val="32"/>
          <w:szCs w:val="32"/>
          <w:highlight w:val="none"/>
          <w:u w:val="none"/>
          <w:lang w:val="en-US" w:eastAsia="zh-CN"/>
        </w:rPr>
      </w:pPr>
      <w:r>
        <w:rPr>
          <w:rStyle w:val="13"/>
          <w:rFonts w:hint="eastAsia" w:ascii="仿宋_GB2312" w:hAnsi="仿宋_GB2312" w:eastAsia="仿宋_GB2312" w:cs="仿宋_GB2312"/>
          <w:b w:val="0"/>
          <w:bCs w:val="0"/>
          <w:color w:val="auto"/>
          <w:sz w:val="32"/>
          <w:szCs w:val="32"/>
          <w:highlight w:val="none"/>
          <w:u w:val="none"/>
          <w:lang w:val="en-US" w:eastAsia="zh-CN"/>
        </w:rPr>
        <w:t>2.未被列入经营异常名录或失信主体名单；</w:t>
      </w:r>
    </w:p>
    <w:p w14:paraId="3FF6F8CD">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color w:val="auto"/>
          <w:sz w:val="32"/>
          <w:szCs w:val="32"/>
          <w:highlight w:val="none"/>
          <w:u w:val="none"/>
          <w:shd w:val="clear" w:color="auto" w:fill="FFFFFF"/>
        </w:rPr>
      </w:pPr>
      <w:r>
        <w:rPr>
          <w:rFonts w:hint="eastAsia" w:ascii="仿宋_GB2312" w:hAnsi="仿宋_GB2312" w:eastAsia="仿宋_GB2312" w:cs="仿宋_GB2312"/>
          <w:b w:val="0"/>
          <w:bCs w:val="0"/>
          <w:color w:val="auto"/>
          <w:sz w:val="32"/>
          <w:szCs w:val="32"/>
          <w:highlight w:val="none"/>
          <w:u w:val="none"/>
          <w:shd w:val="clear" w:color="auto" w:fill="FFFFFF"/>
          <w:lang w:val="en-US" w:eastAsia="zh-CN"/>
        </w:rPr>
        <w:t>3</w:t>
      </w:r>
      <w:r>
        <w:rPr>
          <w:rFonts w:hint="eastAsia" w:ascii="仿宋_GB2312" w:hAnsi="仿宋_GB2312" w:eastAsia="仿宋_GB2312" w:cs="仿宋_GB2312"/>
          <w:b w:val="0"/>
          <w:bCs w:val="0"/>
          <w:color w:val="auto"/>
          <w:sz w:val="32"/>
          <w:szCs w:val="32"/>
          <w:highlight w:val="none"/>
          <w:u w:val="none"/>
          <w:shd w:val="clear" w:color="auto" w:fill="FFFFFF"/>
        </w:rPr>
        <w:t>.</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在取得本细则所涉融资贷款担保时，已通过国家高新技术企业认定，并处于有效期内</w:t>
      </w:r>
      <w:r>
        <w:rPr>
          <w:rFonts w:hint="eastAsia" w:ascii="仿宋_GB2312" w:hAnsi="仿宋_GB2312" w:eastAsia="仿宋_GB2312" w:cs="仿宋_GB2312"/>
          <w:b w:val="0"/>
          <w:bCs w:val="0"/>
          <w:color w:val="auto"/>
          <w:sz w:val="32"/>
          <w:szCs w:val="32"/>
          <w:highlight w:val="none"/>
          <w:u w:val="none"/>
          <w:shd w:val="clear" w:color="auto" w:fill="FFFFFF"/>
        </w:rPr>
        <w:t>；</w:t>
      </w:r>
    </w:p>
    <w:p w14:paraId="4AD823A9">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highlight w:val="none"/>
          <w:u w:val="none"/>
          <w:lang w:eastAsia="zh-CN"/>
        </w:rPr>
      </w:pPr>
      <w:r>
        <w:rPr>
          <w:rFonts w:hint="eastAsia" w:ascii="仿宋_GB2312" w:hAnsi="仿宋_GB2312" w:eastAsia="仿宋_GB2312" w:cs="仿宋_GB2312"/>
          <w:b w:val="0"/>
          <w:bCs w:val="0"/>
          <w:color w:val="auto"/>
          <w:szCs w:val="32"/>
          <w:highlight w:val="none"/>
          <w:u w:val="none"/>
          <w:shd w:val="clear" w:color="auto" w:fill="FFFFFF"/>
          <w:lang w:val="en-US" w:eastAsia="zh-CN"/>
        </w:rPr>
        <w:t>4</w:t>
      </w:r>
      <w:r>
        <w:rPr>
          <w:rFonts w:hint="eastAsia" w:ascii="仿宋_GB2312" w:hAnsi="仿宋_GB2312" w:eastAsia="仿宋_GB2312" w:cs="仿宋_GB2312"/>
          <w:b w:val="0"/>
          <w:bCs w:val="0"/>
          <w:color w:val="auto"/>
          <w:szCs w:val="32"/>
          <w:highlight w:val="none"/>
          <w:u w:val="none"/>
          <w:shd w:val="clear" w:color="auto" w:fill="FFFFFF"/>
        </w:rPr>
        <w:t>.企业贷款时间须发生在《黑龙江省加大力度支持科技型企业融资行动实施方案》文件出台日期（即2023年11月1日）之后</w:t>
      </w:r>
      <w:r>
        <w:rPr>
          <w:rFonts w:hint="eastAsia" w:ascii="仿宋_GB2312" w:hAnsi="仿宋_GB2312" w:eastAsia="仿宋_GB2312" w:cs="仿宋_GB2312"/>
          <w:b w:val="0"/>
          <w:bCs w:val="0"/>
          <w:color w:val="auto"/>
          <w:szCs w:val="32"/>
          <w:highlight w:val="none"/>
          <w:u w:val="none"/>
          <w:shd w:val="clear" w:color="auto" w:fill="FFFFFF"/>
          <w:lang w:eastAsia="zh-CN"/>
        </w:rPr>
        <w:t>；</w:t>
      </w:r>
    </w:p>
    <w:p w14:paraId="6C5CE40C">
      <w:pPr>
        <w:pStyle w:val="2"/>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b w:val="0"/>
          <w:bCs w:val="0"/>
          <w:color w:val="auto"/>
          <w:szCs w:val="32"/>
          <w:highlight w:val="none"/>
          <w:u w:val="none"/>
          <w:shd w:val="clear" w:color="auto" w:fill="FFFFFF"/>
        </w:rPr>
      </w:pPr>
      <w:r>
        <w:rPr>
          <w:rFonts w:hint="eastAsia" w:ascii="仿宋_GB2312" w:hAnsi="仿宋_GB2312" w:eastAsia="仿宋_GB2312" w:cs="仿宋_GB2312"/>
          <w:b w:val="0"/>
          <w:bCs w:val="0"/>
          <w:color w:val="auto"/>
          <w:sz w:val="32"/>
          <w:szCs w:val="32"/>
          <w:highlight w:val="none"/>
          <w:u w:val="none"/>
          <w:shd w:val="clear" w:color="auto" w:fill="FFFFFF"/>
          <w:lang w:val="en-US" w:eastAsia="zh-CN"/>
        </w:rPr>
        <w:t>5</w:t>
      </w:r>
      <w:r>
        <w:rPr>
          <w:rFonts w:hint="eastAsia" w:ascii="仿宋_GB2312" w:hAnsi="仿宋_GB2312" w:eastAsia="仿宋_GB2312" w:cs="仿宋_GB2312"/>
          <w:b w:val="0"/>
          <w:bCs w:val="0"/>
          <w:color w:val="auto"/>
          <w:szCs w:val="32"/>
          <w:highlight w:val="none"/>
          <w:u w:val="none"/>
          <w:shd w:val="clear" w:color="auto" w:fill="FFFFFF"/>
        </w:rPr>
        <w:t>.</w:t>
      </w:r>
      <w:r>
        <w:rPr>
          <w:rFonts w:hint="eastAsia" w:ascii="仿宋_GB2312" w:hAnsi="仿宋_GB2312" w:eastAsia="仿宋_GB2312" w:cs="仿宋_GB2312"/>
          <w:b w:val="0"/>
          <w:bCs w:val="0"/>
          <w:color w:val="auto"/>
          <w:szCs w:val="32"/>
          <w:highlight w:val="none"/>
          <w:u w:val="none"/>
          <w:shd w:val="clear" w:color="auto" w:fill="FFFFFF"/>
          <w:lang w:eastAsia="zh-CN"/>
        </w:rPr>
        <w:t>企业贷款</w:t>
      </w:r>
      <w:r>
        <w:rPr>
          <w:rFonts w:hint="eastAsia" w:ascii="仿宋_GB2312" w:hAnsi="仿宋_GB2312" w:eastAsia="仿宋_GB2312" w:cs="仿宋_GB2312"/>
          <w:b w:val="0"/>
          <w:bCs w:val="0"/>
          <w:color w:val="auto"/>
          <w:szCs w:val="32"/>
          <w:highlight w:val="none"/>
          <w:u w:val="none"/>
          <w:shd w:val="clear" w:color="auto" w:fill="FFFFFF"/>
        </w:rPr>
        <w:t>采用知识产权质押</w:t>
      </w:r>
      <w:r>
        <w:rPr>
          <w:rFonts w:hint="eastAsia" w:ascii="仿宋_GB2312" w:hAnsi="仿宋_GB2312" w:eastAsia="仿宋_GB2312" w:cs="仿宋_GB2312"/>
          <w:b w:val="0"/>
          <w:bCs w:val="0"/>
          <w:color w:val="auto"/>
          <w:szCs w:val="32"/>
          <w:highlight w:val="none"/>
          <w:u w:val="none"/>
          <w:shd w:val="clear" w:color="auto" w:fill="FFFFFF"/>
          <w:lang w:eastAsia="zh-CN"/>
        </w:rPr>
        <w:t>融资、应收账款质押融资、创新积分制相关融资等非传统抵质押物融资方式</w:t>
      </w:r>
      <w:r>
        <w:rPr>
          <w:rFonts w:hint="eastAsia" w:ascii="仿宋_GB2312" w:hAnsi="仿宋_GB2312" w:eastAsia="仿宋_GB2312" w:cs="仿宋_GB2312"/>
          <w:b w:val="0"/>
          <w:bCs w:val="0"/>
          <w:color w:val="auto"/>
          <w:szCs w:val="32"/>
          <w:highlight w:val="none"/>
          <w:u w:val="none"/>
          <w:shd w:val="clear" w:color="auto" w:fill="FFFFFF"/>
        </w:rPr>
        <w:t>。</w:t>
      </w:r>
    </w:p>
    <w:p w14:paraId="1B557878">
      <w:pPr>
        <w:pStyle w:val="2"/>
        <w:keepNext w:val="0"/>
        <w:keepLines w:val="0"/>
        <w:pageBreakBefore w:val="0"/>
        <w:widowControl w:val="0"/>
        <w:kinsoku/>
        <w:wordWrap/>
        <w:overflowPunct/>
        <w:topLinePunct w:val="0"/>
        <w:autoSpaceDE/>
        <w:autoSpaceDN/>
        <w:bidi w:val="0"/>
        <w:spacing w:line="560" w:lineRule="exact"/>
        <w:ind w:firstLine="640"/>
        <w:jc w:val="both"/>
        <w:textAlignment w:val="auto"/>
        <w:rPr>
          <w:rFonts w:ascii="Times New Roman" w:hAnsi="Times New Roman" w:eastAsia="仿宋_GB2312" w:cs="Times New Roman"/>
          <w:b w:val="0"/>
          <w:color w:val="auto"/>
          <w:szCs w:val="32"/>
          <w:highlight w:val="none"/>
          <w:u w:val="none"/>
          <w:shd w:val="clear" w:color="auto" w:fill="FFFFFF"/>
        </w:rPr>
      </w:pPr>
      <w:r>
        <w:rPr>
          <w:rFonts w:hint="eastAsia" w:ascii="仿宋_GB2312" w:hAnsi="仿宋_GB2312" w:eastAsia="仿宋_GB2312" w:cs="仿宋_GB2312"/>
          <w:b w:val="0"/>
          <w:bCs w:val="0"/>
          <w:color w:val="auto"/>
          <w:sz w:val="32"/>
          <w:szCs w:val="32"/>
          <w:highlight w:val="none"/>
          <w:u w:val="none"/>
          <w:shd w:val="clear" w:color="auto" w:fill="FFFFFF"/>
          <w:lang w:val="en-US" w:eastAsia="zh-CN"/>
        </w:rPr>
        <w:t>6</w:t>
      </w:r>
      <w:r>
        <w:rPr>
          <w:rFonts w:hint="eastAsia" w:ascii="仿宋_GB2312" w:hAnsi="仿宋_GB2312" w:eastAsia="仿宋_GB2312" w:cs="仿宋_GB2312"/>
          <w:b w:val="0"/>
          <w:bCs w:val="0"/>
          <w:color w:val="auto"/>
          <w:szCs w:val="32"/>
          <w:highlight w:val="none"/>
          <w:u w:val="none"/>
          <w:shd w:val="clear" w:color="auto" w:fill="FFFFFF"/>
        </w:rPr>
        <w:t>.</w:t>
      </w:r>
      <w:r>
        <w:rPr>
          <w:rFonts w:ascii="Times New Roman" w:hAnsi="Times New Roman" w:eastAsia="仿宋_GB2312" w:cs="Times New Roman"/>
          <w:b w:val="0"/>
          <w:color w:val="auto"/>
          <w:szCs w:val="32"/>
          <w:highlight w:val="none"/>
          <w:u w:val="none"/>
          <w:shd w:val="clear" w:color="auto" w:fill="FFFFFF"/>
        </w:rPr>
        <w:t>规模应为小微企业，</w:t>
      </w:r>
      <w:r>
        <w:rPr>
          <w:rFonts w:ascii="Times New Roman" w:hAnsi="Times New Roman" w:eastAsia="仿宋_GB2312" w:cs="Times New Roman"/>
          <w:b w:val="0"/>
          <w:color w:val="auto"/>
          <w:szCs w:val="32"/>
          <w:highlight w:val="none"/>
          <w:u w:val="none"/>
          <w:shd w:val="clear" w:color="auto" w:fill="FFFFFF"/>
          <w:lang w:eastAsia="zh-CN"/>
        </w:rPr>
        <w:t>小型、微型</w:t>
      </w:r>
      <w:r>
        <w:rPr>
          <w:rFonts w:ascii="Times New Roman" w:hAnsi="Times New Roman" w:eastAsia="仿宋_GB2312" w:cs="Times New Roman"/>
          <w:b w:val="0"/>
          <w:color w:val="auto"/>
          <w:szCs w:val="32"/>
          <w:highlight w:val="none"/>
          <w:u w:val="none"/>
          <w:shd w:val="clear" w:color="auto" w:fill="FFFFFF"/>
        </w:rPr>
        <w:t>企业</w:t>
      </w:r>
      <w:r>
        <w:rPr>
          <w:rFonts w:ascii="Times New Roman" w:hAnsi="Times New Roman" w:eastAsia="仿宋_GB2312" w:cs="Times New Roman"/>
          <w:b w:val="0"/>
          <w:color w:val="auto"/>
          <w:szCs w:val="32"/>
          <w:highlight w:val="none"/>
          <w:u w:val="none"/>
          <w:shd w:val="clear" w:color="auto" w:fill="FFFFFF"/>
          <w:lang w:eastAsia="zh-CN"/>
        </w:rPr>
        <w:t>划型</w:t>
      </w:r>
      <w:r>
        <w:rPr>
          <w:rFonts w:ascii="Times New Roman" w:hAnsi="Times New Roman" w:eastAsia="仿宋_GB2312" w:cs="Times New Roman"/>
          <w:b w:val="0"/>
          <w:color w:val="auto"/>
          <w:szCs w:val="32"/>
          <w:highlight w:val="none"/>
          <w:u w:val="none"/>
          <w:shd w:val="clear" w:color="auto" w:fill="FFFFFF"/>
        </w:rPr>
        <w:t>按照《</w:t>
      </w:r>
      <w:r>
        <w:rPr>
          <w:rFonts w:ascii="Times New Roman" w:hAnsi="Times New Roman" w:eastAsia="仿宋_GB2312" w:cs="Times New Roman"/>
          <w:b w:val="0"/>
          <w:color w:val="auto"/>
          <w:szCs w:val="32"/>
          <w:highlight w:val="none"/>
          <w:u w:val="none"/>
          <w:shd w:val="clear" w:color="auto" w:fill="FFFFFF"/>
          <w:lang w:eastAsia="zh-CN"/>
        </w:rPr>
        <w:t>关于印发中小企业划型标准规定的通知</w:t>
      </w:r>
      <w:r>
        <w:rPr>
          <w:rFonts w:ascii="Times New Roman" w:hAnsi="Times New Roman" w:eastAsia="仿宋_GB2312" w:cs="Times New Roman"/>
          <w:b w:val="0"/>
          <w:color w:val="auto"/>
          <w:szCs w:val="32"/>
          <w:highlight w:val="none"/>
          <w:u w:val="none"/>
          <w:shd w:val="clear" w:color="auto" w:fill="FFFFFF"/>
        </w:rPr>
        <w:t>》（</w:t>
      </w:r>
      <w:r>
        <w:rPr>
          <w:rFonts w:ascii="Times New Roman" w:hAnsi="Times New Roman" w:eastAsia="仿宋_GB2312" w:cs="Times New Roman"/>
          <w:b w:val="0"/>
          <w:color w:val="auto"/>
          <w:szCs w:val="32"/>
          <w:highlight w:val="none"/>
          <w:u w:val="none"/>
          <w:shd w:val="clear" w:color="auto" w:fill="FFFFFF"/>
          <w:lang w:eastAsia="zh-CN"/>
        </w:rPr>
        <w:t>工信部联企业</w:t>
      </w:r>
      <w:r>
        <w:rPr>
          <w:rFonts w:ascii="Times New Roman" w:hAnsi="Times New Roman" w:eastAsia="仿宋_GB2312" w:cs="Times New Roman"/>
          <w:b w:val="0"/>
          <w:color w:val="auto"/>
          <w:szCs w:val="32"/>
          <w:highlight w:val="none"/>
          <w:u w:val="none"/>
          <w:shd w:val="clear" w:color="auto" w:fill="FFFFFF"/>
        </w:rPr>
        <w:t>〔201</w:t>
      </w:r>
      <w:r>
        <w:rPr>
          <w:rFonts w:ascii="Times New Roman" w:hAnsi="Times New Roman" w:eastAsia="仿宋_GB2312" w:cs="Times New Roman"/>
          <w:b w:val="0"/>
          <w:color w:val="auto"/>
          <w:szCs w:val="32"/>
          <w:highlight w:val="none"/>
          <w:u w:val="none"/>
          <w:shd w:val="clear" w:color="auto" w:fill="FFFFFF"/>
          <w:lang w:val="en-US" w:eastAsia="zh-CN"/>
        </w:rPr>
        <w:t>1</w:t>
      </w:r>
      <w:r>
        <w:rPr>
          <w:rFonts w:ascii="Times New Roman" w:hAnsi="Times New Roman" w:eastAsia="仿宋_GB2312" w:cs="Times New Roman"/>
          <w:b w:val="0"/>
          <w:color w:val="auto"/>
          <w:szCs w:val="32"/>
          <w:highlight w:val="none"/>
          <w:u w:val="none"/>
          <w:shd w:val="clear" w:color="auto" w:fill="FFFFFF"/>
        </w:rPr>
        <w:t>〕3</w:t>
      </w:r>
      <w:r>
        <w:rPr>
          <w:rFonts w:ascii="Times New Roman" w:hAnsi="Times New Roman" w:eastAsia="仿宋_GB2312" w:cs="Times New Roman"/>
          <w:b w:val="0"/>
          <w:color w:val="auto"/>
          <w:szCs w:val="32"/>
          <w:highlight w:val="none"/>
          <w:u w:val="none"/>
          <w:shd w:val="clear" w:color="auto" w:fill="FFFFFF"/>
          <w:lang w:val="en-US" w:eastAsia="zh-CN"/>
        </w:rPr>
        <w:t>00</w:t>
      </w:r>
      <w:r>
        <w:rPr>
          <w:rFonts w:ascii="Times New Roman" w:hAnsi="Times New Roman" w:eastAsia="仿宋_GB2312" w:cs="Times New Roman"/>
          <w:b w:val="0"/>
          <w:color w:val="auto"/>
          <w:szCs w:val="32"/>
          <w:highlight w:val="none"/>
          <w:u w:val="none"/>
          <w:shd w:val="clear" w:color="auto" w:fill="FFFFFF"/>
        </w:rPr>
        <w:t>号）规定执行；</w:t>
      </w:r>
    </w:p>
    <w:p w14:paraId="0DF7E6CE">
      <w:pPr>
        <w:keepNext w:val="0"/>
        <w:keepLines w:val="0"/>
        <w:pageBreakBefore w:val="0"/>
        <w:widowControl w:val="0"/>
        <w:kinsoku/>
        <w:wordWrap/>
        <w:overflowPunct/>
        <w:topLinePunct w:val="0"/>
        <w:autoSpaceDE/>
        <w:autoSpaceDN/>
        <w:bidi w:val="0"/>
        <w:spacing w:line="560" w:lineRule="exact"/>
        <w:ind w:firstLine="640"/>
        <w:textAlignment w:val="auto"/>
        <w:rPr>
          <w:rFonts w:ascii="Times New Roman" w:hAnsi="Times New Roman" w:cs="Times New Roman"/>
          <w:color w:val="auto"/>
          <w:highlight w:val="none"/>
          <w:u w:val="none"/>
        </w:rPr>
      </w:pPr>
      <w:r>
        <w:rPr>
          <w:rFonts w:ascii="Times New Roman" w:hAnsi="Times New Roman" w:eastAsia="仿宋_GB2312" w:cs="Times New Roman"/>
          <w:color w:val="auto"/>
          <w:sz w:val="32"/>
          <w:szCs w:val="32"/>
          <w:highlight w:val="none"/>
          <w:u w:val="none"/>
          <w:shd w:val="clear" w:color="auto" w:fill="FFFFFF"/>
          <w:lang w:val="en-US" w:eastAsia="zh-CN"/>
        </w:rPr>
        <w:t>7</w:t>
      </w:r>
      <w:r>
        <w:rPr>
          <w:rFonts w:ascii="Times New Roman" w:hAnsi="Times New Roman" w:eastAsia="仿宋_GB2312" w:cs="Times New Roman"/>
          <w:color w:val="auto"/>
          <w:sz w:val="32"/>
          <w:szCs w:val="32"/>
          <w:highlight w:val="none"/>
          <w:u w:val="none"/>
          <w:shd w:val="clear" w:color="auto" w:fill="FFFFFF"/>
        </w:rPr>
        <w:t>.</w:t>
      </w:r>
      <w:r>
        <w:rPr>
          <w:rFonts w:hint="eastAsia" w:ascii="Times New Roman" w:hAnsi="Times New Roman" w:eastAsia="仿宋_GB2312" w:cs="Times New Roman"/>
          <w:color w:val="auto"/>
          <w:sz w:val="32"/>
          <w:szCs w:val="32"/>
          <w:highlight w:val="none"/>
          <w:u w:val="none"/>
          <w:shd w:val="clear" w:color="auto" w:fill="FFFFFF"/>
          <w:lang w:eastAsia="zh-CN"/>
        </w:rPr>
        <w:t>企业</w:t>
      </w:r>
      <w:r>
        <w:rPr>
          <w:rFonts w:ascii="Times New Roman" w:hAnsi="Times New Roman" w:eastAsia="仿宋_GB2312" w:cs="Times New Roman"/>
          <w:color w:val="auto"/>
          <w:sz w:val="32"/>
          <w:szCs w:val="32"/>
          <w:highlight w:val="none"/>
          <w:u w:val="none"/>
          <w:shd w:val="clear" w:color="auto" w:fill="FFFFFF"/>
        </w:rPr>
        <w:t>未</w:t>
      </w:r>
      <w:r>
        <w:rPr>
          <w:rFonts w:hint="eastAsia" w:ascii="Times New Roman" w:hAnsi="Times New Roman" w:eastAsia="仿宋_GB2312" w:cs="Times New Roman"/>
          <w:color w:val="auto"/>
          <w:sz w:val="32"/>
          <w:szCs w:val="32"/>
          <w:highlight w:val="none"/>
          <w:u w:val="none"/>
          <w:shd w:val="clear" w:color="auto" w:fill="FFFFFF"/>
          <w:lang w:val="en-US" w:eastAsia="zh-CN"/>
        </w:rPr>
        <w:t>参与</w:t>
      </w:r>
      <w:r>
        <w:rPr>
          <w:rFonts w:hint="eastAsia" w:ascii="Times New Roman" w:hAnsi="Times New Roman" w:eastAsia="仿宋_GB2312" w:cs="Times New Roman"/>
          <w:color w:val="auto"/>
          <w:sz w:val="32"/>
          <w:szCs w:val="32"/>
          <w:highlight w:val="none"/>
          <w:u w:val="none"/>
          <w:shd w:val="clear" w:color="auto" w:fill="FFFFFF"/>
          <w:lang w:eastAsia="zh-CN"/>
        </w:rPr>
        <w:t>过省级</w:t>
      </w:r>
      <w:r>
        <w:rPr>
          <w:rFonts w:hint="eastAsia" w:ascii="Times New Roman" w:hAnsi="Times New Roman" w:eastAsia="仿宋_GB2312" w:cs="Times New Roman"/>
          <w:color w:val="auto"/>
          <w:sz w:val="32"/>
          <w:szCs w:val="32"/>
          <w:highlight w:val="none"/>
          <w:u w:val="none"/>
          <w:shd w:val="clear" w:color="auto" w:fill="FFFFFF"/>
          <w:lang w:val="en-US" w:eastAsia="zh-CN"/>
        </w:rPr>
        <w:t>中小企业</w:t>
      </w:r>
      <w:r>
        <w:rPr>
          <w:rFonts w:ascii="Times New Roman" w:hAnsi="Times New Roman" w:eastAsia="仿宋_GB2312" w:cs="Times New Roman"/>
          <w:color w:val="auto"/>
          <w:sz w:val="32"/>
          <w:szCs w:val="32"/>
          <w:highlight w:val="none"/>
          <w:u w:val="none"/>
          <w:shd w:val="clear" w:color="auto" w:fill="FFFFFF"/>
        </w:rPr>
        <w:t>稳企稳岗基金担保贷款</w:t>
      </w:r>
      <w:r>
        <w:rPr>
          <w:rFonts w:hint="eastAsia" w:ascii="Times New Roman" w:hAnsi="Times New Roman" w:eastAsia="仿宋_GB2312" w:cs="Times New Roman"/>
          <w:color w:val="auto"/>
          <w:sz w:val="32"/>
          <w:szCs w:val="32"/>
          <w:highlight w:val="none"/>
          <w:u w:val="none"/>
          <w:shd w:val="clear" w:color="auto" w:fill="FFFFFF"/>
          <w:lang w:val="en-US" w:eastAsia="zh-CN"/>
        </w:rPr>
        <w:t>政策</w:t>
      </w:r>
      <w:r>
        <w:rPr>
          <w:rFonts w:ascii="Times New Roman" w:hAnsi="Times New Roman" w:eastAsia="仿宋_GB2312" w:cs="Times New Roman"/>
          <w:color w:val="auto"/>
          <w:sz w:val="32"/>
          <w:szCs w:val="32"/>
          <w:highlight w:val="none"/>
          <w:u w:val="none"/>
          <w:shd w:val="clear" w:color="auto" w:fill="FFFFFF"/>
        </w:rPr>
        <w:t>；</w:t>
      </w:r>
    </w:p>
    <w:p w14:paraId="3784BAF3">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eastAsia="仿宋_GB2312"/>
          <w:color w:val="auto"/>
          <w:highlight w:val="none"/>
          <w:u w:val="none"/>
          <w:lang w:val="en-US" w:eastAsia="zh-CN"/>
        </w:rPr>
      </w:pPr>
      <w:r>
        <w:rPr>
          <w:rFonts w:hint="eastAsia" w:ascii="Times New Roman" w:hAnsi="Times New Roman" w:eastAsia="仿宋_GB2312" w:cs="Times New Roman"/>
          <w:b w:val="0"/>
          <w:color w:val="auto"/>
          <w:szCs w:val="32"/>
          <w:highlight w:val="none"/>
          <w:u w:val="none"/>
          <w:shd w:val="clear" w:color="auto" w:fill="FFFFFF"/>
          <w:lang w:val="en-US" w:eastAsia="zh-CN"/>
        </w:rPr>
        <w:t>8.</w:t>
      </w:r>
      <w:r>
        <w:rPr>
          <w:rFonts w:ascii="Times New Roman" w:hAnsi="Times New Roman" w:eastAsia="仿宋_GB2312" w:cs="Times New Roman"/>
          <w:b w:val="0"/>
          <w:color w:val="auto"/>
          <w:szCs w:val="32"/>
          <w:highlight w:val="none"/>
          <w:u w:val="none"/>
          <w:shd w:val="clear" w:color="auto" w:fill="FFFFFF"/>
        </w:rPr>
        <w:t>单户</w:t>
      </w:r>
      <w:r>
        <w:rPr>
          <w:rFonts w:ascii="Times New Roman" w:hAnsi="Times New Roman" w:eastAsia="仿宋_GB2312" w:cs="Times New Roman"/>
          <w:b w:val="0"/>
          <w:color w:val="auto"/>
          <w:szCs w:val="32"/>
          <w:highlight w:val="none"/>
          <w:u w:val="none"/>
          <w:shd w:val="clear" w:color="auto" w:fill="FFFFFF"/>
          <w:lang w:eastAsia="zh-CN"/>
        </w:rPr>
        <w:t>借款</w:t>
      </w:r>
      <w:r>
        <w:rPr>
          <w:rFonts w:ascii="Times New Roman" w:hAnsi="Times New Roman" w:eastAsia="仿宋_GB2312" w:cs="Times New Roman"/>
          <w:b w:val="0"/>
          <w:color w:val="auto"/>
          <w:szCs w:val="32"/>
          <w:highlight w:val="none"/>
          <w:u w:val="none"/>
          <w:shd w:val="clear" w:color="auto" w:fill="FFFFFF"/>
        </w:rPr>
        <w:t>企业只享受一次本代偿补偿政策。</w:t>
      </w:r>
    </w:p>
    <w:p w14:paraId="6EB13C64">
      <w:pPr>
        <w:pStyle w:val="2"/>
        <w:keepNext w:val="0"/>
        <w:keepLines w:val="0"/>
        <w:pageBreakBefore w:val="0"/>
        <w:widowControl w:val="0"/>
        <w:kinsoku/>
        <w:wordWrap/>
        <w:overflowPunct/>
        <w:topLinePunct w:val="0"/>
        <w:autoSpaceDE/>
        <w:autoSpaceDN/>
        <w:bidi w:val="0"/>
        <w:spacing w:line="560" w:lineRule="exact"/>
        <w:ind w:firstLine="640"/>
        <w:jc w:val="both"/>
        <w:textAlignment w:val="auto"/>
        <w:rPr>
          <w:rFonts w:ascii="Times New Roman" w:hAnsi="Times New Roman" w:eastAsia="楷体_GB2312" w:cs="Times New Roman"/>
          <w:b w:val="0"/>
          <w:color w:val="auto"/>
          <w:szCs w:val="32"/>
          <w:highlight w:val="none"/>
          <w:u w:val="none"/>
          <w:shd w:val="clear" w:color="auto" w:fill="FFFFFF"/>
        </w:rPr>
      </w:pPr>
      <w:r>
        <w:rPr>
          <w:rFonts w:ascii="Times New Roman" w:hAnsi="Times New Roman" w:eastAsia="楷体_GB2312" w:cs="Times New Roman"/>
          <w:b w:val="0"/>
          <w:color w:val="auto"/>
          <w:szCs w:val="32"/>
          <w:highlight w:val="none"/>
          <w:u w:val="none"/>
          <w:shd w:val="clear" w:color="auto" w:fill="FFFFFF"/>
        </w:rPr>
        <w:t>（三）企业所贷款银行应符合以下条件：</w:t>
      </w:r>
    </w:p>
    <w:p w14:paraId="51124CA0">
      <w:pPr>
        <w:pStyle w:val="2"/>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b w:val="0"/>
          <w:color w:val="auto"/>
          <w:sz w:val="32"/>
          <w:szCs w:val="32"/>
          <w:highlight w:val="none"/>
          <w:u w:val="none"/>
          <w:shd w:val="clear" w:color="auto" w:fill="FFFFFF"/>
        </w:rPr>
      </w:pPr>
      <w:r>
        <w:rPr>
          <w:rFonts w:hint="eastAsia" w:ascii="仿宋_GB2312" w:hAnsi="仿宋_GB2312" w:eastAsia="仿宋_GB2312" w:cs="仿宋_GB2312"/>
          <w:b w:val="0"/>
          <w:color w:val="auto"/>
          <w:sz w:val="32"/>
          <w:szCs w:val="32"/>
          <w:highlight w:val="none"/>
          <w:u w:val="none"/>
          <w:shd w:val="clear" w:color="auto" w:fill="FFFFFF"/>
        </w:rPr>
        <w:t>1.具备良好的资产与负债机构、正常的盈利能力、合理的流动性安排；</w:t>
      </w:r>
    </w:p>
    <w:p w14:paraId="63965D85">
      <w:pPr>
        <w:pStyle w:val="2"/>
        <w:keepNext w:val="0"/>
        <w:keepLines w:val="0"/>
        <w:pageBreakBefore w:val="0"/>
        <w:widowControl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b w:val="0"/>
          <w:color w:val="auto"/>
          <w:sz w:val="32"/>
          <w:szCs w:val="32"/>
          <w:highlight w:val="none"/>
          <w:u w:val="none"/>
          <w:shd w:val="clear" w:color="auto" w:fill="FFFFFF"/>
        </w:rPr>
      </w:pPr>
      <w:r>
        <w:rPr>
          <w:rFonts w:hint="eastAsia" w:ascii="仿宋_GB2312" w:hAnsi="仿宋_GB2312" w:eastAsia="仿宋_GB2312" w:cs="仿宋_GB2312"/>
          <w:b w:val="0"/>
          <w:color w:val="auto"/>
          <w:sz w:val="32"/>
          <w:szCs w:val="32"/>
          <w:highlight w:val="none"/>
          <w:u w:val="none"/>
          <w:shd w:val="clear" w:color="auto" w:fill="FFFFFF"/>
        </w:rPr>
        <w:t>2.具有较丰富的中小微企业信贷产品，具备专业的金融科技团队，</w:t>
      </w:r>
      <w:r>
        <w:rPr>
          <w:rFonts w:hint="eastAsia" w:ascii="仿宋_GB2312" w:hAnsi="仿宋_GB2312" w:eastAsia="仿宋_GB2312" w:cs="仿宋_GB2312"/>
          <w:b w:val="0"/>
          <w:color w:val="auto"/>
          <w:sz w:val="32"/>
          <w:szCs w:val="32"/>
          <w:highlight w:val="none"/>
          <w:u w:val="none"/>
          <w:shd w:val="clear" w:color="auto" w:fill="FFFFFF"/>
          <w:lang w:eastAsia="zh-CN"/>
        </w:rPr>
        <w:t>已开发适合科技创新类中小企业的</w:t>
      </w:r>
      <w:r>
        <w:rPr>
          <w:rFonts w:hint="eastAsia" w:ascii="仿宋_GB2312" w:hAnsi="仿宋_GB2312" w:eastAsia="仿宋_GB2312" w:cs="仿宋_GB2312"/>
          <w:b w:val="0"/>
          <w:color w:val="auto"/>
          <w:sz w:val="32"/>
          <w:szCs w:val="32"/>
          <w:highlight w:val="none"/>
          <w:u w:val="none"/>
          <w:shd w:val="clear" w:color="auto" w:fill="FFFFFF"/>
        </w:rPr>
        <w:t>知识产权质押</w:t>
      </w:r>
      <w:r>
        <w:rPr>
          <w:rFonts w:hint="eastAsia" w:ascii="仿宋_GB2312" w:hAnsi="仿宋_GB2312" w:eastAsia="仿宋_GB2312" w:cs="仿宋_GB2312"/>
          <w:b w:val="0"/>
          <w:color w:val="auto"/>
          <w:sz w:val="32"/>
          <w:szCs w:val="32"/>
          <w:highlight w:val="none"/>
          <w:u w:val="none"/>
          <w:shd w:val="clear" w:color="auto" w:fill="FFFFFF"/>
          <w:lang w:eastAsia="zh-CN"/>
        </w:rPr>
        <w:t>融资、应收账款质押融资、创新积分制相关融资等产品</w:t>
      </w:r>
      <w:r>
        <w:rPr>
          <w:rFonts w:hint="eastAsia" w:ascii="仿宋_GB2312" w:hAnsi="仿宋_GB2312" w:eastAsia="仿宋_GB2312" w:cs="仿宋_GB2312"/>
          <w:b w:val="0"/>
          <w:color w:val="auto"/>
          <w:sz w:val="32"/>
          <w:szCs w:val="32"/>
          <w:highlight w:val="none"/>
          <w:u w:val="none"/>
          <w:shd w:val="clear" w:color="auto" w:fill="FFFFFF"/>
        </w:rPr>
        <w:t>；</w:t>
      </w:r>
    </w:p>
    <w:p w14:paraId="11D678AF">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2"/>
          <w:szCs w:val="32"/>
          <w:highlight w:val="none"/>
          <w:u w:val="none"/>
          <w:shd w:val="clear" w:color="auto" w:fill="FFFFFF"/>
        </w:rPr>
      </w:pPr>
      <w:r>
        <w:rPr>
          <w:rFonts w:hint="eastAsia" w:ascii="仿宋_GB2312" w:hAnsi="仿宋_GB2312" w:eastAsia="仿宋_GB2312" w:cs="仿宋_GB2312"/>
          <w:b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color w:val="auto"/>
          <w:sz w:val="32"/>
          <w:szCs w:val="32"/>
          <w:highlight w:val="none"/>
          <w:u w:val="none"/>
          <w:shd w:val="clear" w:color="auto" w:fill="FFFFFF"/>
        </w:rPr>
        <w:t>3.</w:t>
      </w:r>
      <w:r>
        <w:rPr>
          <w:rFonts w:ascii="Times New Roman" w:hAnsi="Times New Roman" w:eastAsia="仿宋_GB2312" w:cs="Times New Roman"/>
          <w:b w:val="0"/>
          <w:color w:val="auto"/>
          <w:sz w:val="32"/>
          <w:szCs w:val="32"/>
          <w:highlight w:val="none"/>
          <w:u w:val="none"/>
          <w:shd w:val="clear" w:color="auto" w:fill="FFFFFF"/>
        </w:rPr>
        <w:t>具有从事中小微企业信贷业务的专营团队，建立有针对中小微企业的风险跟踪、控制体系。</w:t>
      </w:r>
    </w:p>
    <w:p w14:paraId="0BDB24C8">
      <w:pPr>
        <w:pStyle w:val="2"/>
        <w:keepNext w:val="0"/>
        <w:keepLines w:val="0"/>
        <w:pageBreakBefore w:val="0"/>
        <w:widowControl w:val="0"/>
        <w:kinsoku/>
        <w:wordWrap/>
        <w:overflowPunct/>
        <w:topLinePunct w:val="0"/>
        <w:autoSpaceDE/>
        <w:autoSpaceDN/>
        <w:bidi w:val="0"/>
        <w:spacing w:line="560" w:lineRule="exact"/>
        <w:jc w:val="left"/>
        <w:textAlignment w:val="auto"/>
        <w:rPr>
          <w:rFonts w:ascii="Times New Roman" w:hAnsi="Times New Roman" w:eastAsia="黑体" w:cs="Times New Roman"/>
          <w:b w:val="0"/>
          <w:bCs/>
          <w:color w:val="auto"/>
          <w:sz w:val="32"/>
          <w:szCs w:val="32"/>
          <w:highlight w:val="none"/>
          <w:u w:val="none"/>
          <w:shd w:val="clear" w:color="auto" w:fill="FFFFFF"/>
        </w:rPr>
      </w:pPr>
      <w:r>
        <w:rPr>
          <w:rFonts w:ascii="Times New Roman" w:hAnsi="Times New Roman" w:eastAsia="黑体" w:cs="Times New Roman"/>
          <w:b w:val="0"/>
          <w:bCs/>
          <w:color w:val="auto"/>
          <w:sz w:val="32"/>
          <w:szCs w:val="32"/>
          <w:highlight w:val="none"/>
          <w:u w:val="none"/>
          <w:shd w:val="clear" w:color="auto" w:fill="FFFFFF"/>
          <w:lang w:val="en-US" w:eastAsia="zh-CN"/>
        </w:rPr>
        <w:t xml:space="preserve">    </w:t>
      </w:r>
      <w:r>
        <w:rPr>
          <w:rFonts w:ascii="Times New Roman" w:hAnsi="Times New Roman" w:eastAsia="黑体" w:cs="Times New Roman"/>
          <w:b w:val="0"/>
          <w:bCs/>
          <w:color w:val="auto"/>
          <w:sz w:val="32"/>
          <w:szCs w:val="32"/>
          <w:highlight w:val="none"/>
          <w:u w:val="none"/>
          <w:shd w:val="clear" w:color="auto" w:fill="FFFFFF"/>
        </w:rPr>
        <w:t>第</w:t>
      </w:r>
      <w:r>
        <w:rPr>
          <w:rFonts w:ascii="Times New Roman" w:hAnsi="Times New Roman" w:eastAsia="黑体" w:cs="Times New Roman"/>
          <w:b w:val="0"/>
          <w:bCs/>
          <w:color w:val="auto"/>
          <w:sz w:val="32"/>
          <w:szCs w:val="32"/>
          <w:highlight w:val="none"/>
          <w:u w:val="none"/>
          <w:shd w:val="clear" w:color="auto" w:fill="FFFFFF"/>
          <w:lang w:eastAsia="zh-CN"/>
        </w:rPr>
        <w:t>五</w:t>
      </w:r>
      <w:r>
        <w:rPr>
          <w:rFonts w:ascii="Times New Roman" w:hAnsi="Times New Roman" w:eastAsia="黑体" w:cs="Times New Roman"/>
          <w:b w:val="0"/>
          <w:bCs/>
          <w:color w:val="auto"/>
          <w:sz w:val="32"/>
          <w:szCs w:val="32"/>
          <w:highlight w:val="none"/>
          <w:u w:val="none"/>
          <w:shd w:val="clear" w:color="auto" w:fill="FFFFFF"/>
        </w:rPr>
        <w:t>条 补偿方式及标准</w:t>
      </w:r>
    </w:p>
    <w:p w14:paraId="036B49CE">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b w:val="0"/>
          <w:color w:val="auto"/>
          <w:szCs w:val="32"/>
          <w:highlight w:val="none"/>
          <w:u w:val="none"/>
          <w:shd w:val="clear" w:color="auto" w:fill="FFFFFF"/>
        </w:rPr>
      </w:pPr>
      <w:r>
        <w:rPr>
          <w:rFonts w:ascii="Times New Roman" w:hAnsi="Times New Roman" w:eastAsia="仿宋_GB2312" w:cs="Times New Roman"/>
          <w:b w:val="0"/>
          <w:bCs/>
          <w:color w:val="auto"/>
          <w:sz w:val="32"/>
          <w:szCs w:val="32"/>
          <w:highlight w:val="none"/>
          <w:u w:val="none"/>
          <w:shd w:val="clear" w:color="auto" w:fill="FFFFFF"/>
        </w:rPr>
        <w:t>采取风险补偿支持方式，</w:t>
      </w:r>
      <w:r>
        <w:rPr>
          <w:rFonts w:ascii="Times New Roman" w:hAnsi="Times New Roman" w:eastAsia="仿宋_GB2312" w:cs="Times New Roman"/>
          <w:b w:val="0"/>
          <w:bCs/>
          <w:color w:val="auto"/>
          <w:szCs w:val="32"/>
          <w:highlight w:val="none"/>
          <w:u w:val="none"/>
          <w:shd w:val="clear" w:color="auto" w:fill="FFFFFF"/>
        </w:rPr>
        <w:t>融资</w:t>
      </w:r>
      <w:r>
        <w:rPr>
          <w:rFonts w:ascii="Times New Roman" w:hAnsi="Times New Roman" w:eastAsia="仿宋_GB2312" w:cs="Times New Roman"/>
          <w:b w:val="0"/>
          <w:color w:val="auto"/>
          <w:szCs w:val="32"/>
          <w:highlight w:val="none"/>
          <w:u w:val="none"/>
          <w:shd w:val="clear" w:color="auto" w:fill="FFFFFF"/>
        </w:rPr>
        <w:t>担保机构</w:t>
      </w:r>
      <w:r>
        <w:rPr>
          <w:rFonts w:hint="eastAsia" w:ascii="Times New Roman" w:hAnsi="Times New Roman" w:eastAsia="仿宋_GB2312" w:cs="Times New Roman"/>
          <w:b w:val="0"/>
          <w:color w:val="auto"/>
          <w:szCs w:val="32"/>
          <w:highlight w:val="none"/>
          <w:u w:val="none"/>
          <w:shd w:val="clear" w:color="auto" w:fill="FFFFFF"/>
          <w:lang w:eastAsia="zh-CN"/>
        </w:rPr>
        <w:t>向</w:t>
      </w:r>
      <w:r>
        <w:rPr>
          <w:rFonts w:ascii="Times New Roman" w:hAnsi="Times New Roman" w:eastAsia="仿宋_GB2312" w:cs="Times New Roman"/>
          <w:b w:val="0"/>
          <w:color w:val="auto"/>
          <w:szCs w:val="32"/>
          <w:highlight w:val="none"/>
          <w:u w:val="none"/>
          <w:shd w:val="clear" w:color="auto" w:fill="FFFFFF"/>
          <w:lang w:eastAsia="zh-CN"/>
        </w:rPr>
        <w:t>通过</w:t>
      </w:r>
      <w:r>
        <w:rPr>
          <w:rFonts w:ascii="Times New Roman" w:hAnsi="Times New Roman" w:eastAsia="仿宋_GB2312" w:cs="Times New Roman"/>
          <w:b w:val="0"/>
          <w:color w:val="auto"/>
          <w:szCs w:val="32"/>
          <w:highlight w:val="none"/>
          <w:u w:val="none"/>
          <w:shd w:val="clear" w:color="auto" w:fill="FFFFFF"/>
        </w:rPr>
        <w:t>高新技术企业</w:t>
      </w:r>
      <w:r>
        <w:rPr>
          <w:rFonts w:hint="eastAsia" w:ascii="Times New Roman" w:hAnsi="Times New Roman" w:eastAsia="仿宋_GB2312" w:cs="Times New Roman"/>
          <w:b w:val="0"/>
          <w:color w:val="auto"/>
          <w:szCs w:val="32"/>
          <w:highlight w:val="none"/>
          <w:u w:val="none"/>
          <w:shd w:val="clear" w:color="auto" w:fill="FFFFFF"/>
          <w:lang w:eastAsia="zh-CN"/>
        </w:rPr>
        <w:t>认定的小微企业提供专项科技担保产品</w:t>
      </w:r>
      <w:r>
        <w:rPr>
          <w:rFonts w:ascii="Times New Roman" w:hAnsi="Times New Roman" w:eastAsia="仿宋_GB2312" w:cs="Times New Roman"/>
          <w:b w:val="0"/>
          <w:color w:val="auto"/>
          <w:szCs w:val="32"/>
          <w:highlight w:val="none"/>
          <w:u w:val="none"/>
          <w:shd w:val="clear" w:color="auto" w:fill="FFFFFF"/>
        </w:rPr>
        <w:t>，出现债务人违约，担保机构按协议履行代偿责任后，可申请风险补偿</w:t>
      </w:r>
      <w:r>
        <w:rPr>
          <w:rFonts w:hint="eastAsia" w:ascii="Times New Roman" w:hAnsi="Times New Roman" w:eastAsia="仿宋_GB2312" w:cs="Times New Roman"/>
          <w:b w:val="0"/>
          <w:color w:val="auto"/>
          <w:szCs w:val="32"/>
          <w:highlight w:val="none"/>
          <w:u w:val="none"/>
          <w:shd w:val="clear" w:color="auto" w:fill="FFFFFF"/>
          <w:lang w:eastAsia="zh-CN"/>
        </w:rPr>
        <w:t>。</w:t>
      </w:r>
      <w:r>
        <w:rPr>
          <w:rFonts w:ascii="Times New Roman" w:hAnsi="Times New Roman" w:eastAsia="仿宋_GB2312" w:cs="Times New Roman"/>
          <w:b w:val="0"/>
          <w:bCs/>
          <w:color w:val="auto"/>
          <w:sz w:val="32"/>
          <w:szCs w:val="32"/>
          <w:highlight w:val="none"/>
          <w:u w:val="none"/>
          <w:shd w:val="clear" w:color="auto" w:fill="FFFFFF"/>
          <w:lang w:eastAsia="zh-CN"/>
        </w:rPr>
        <w:t>同级财政</w:t>
      </w:r>
      <w:r>
        <w:rPr>
          <w:rFonts w:ascii="Times New Roman" w:hAnsi="Times New Roman" w:eastAsia="仿宋_GB2312" w:cs="Times New Roman"/>
          <w:b w:val="0"/>
          <w:bCs/>
          <w:color w:val="auto"/>
          <w:sz w:val="32"/>
          <w:szCs w:val="32"/>
          <w:highlight w:val="none"/>
          <w:u w:val="none"/>
          <w:shd w:val="clear" w:color="auto" w:fill="FFFFFF"/>
        </w:rPr>
        <w:t>对</w:t>
      </w:r>
      <w:r>
        <w:rPr>
          <w:rFonts w:ascii="Times New Roman" w:hAnsi="Times New Roman" w:eastAsia="仿宋_GB2312" w:cs="Times New Roman"/>
          <w:b w:val="0"/>
          <w:bCs/>
          <w:color w:val="auto"/>
          <w:szCs w:val="32"/>
          <w:highlight w:val="none"/>
          <w:u w:val="none"/>
          <w:shd w:val="clear" w:color="auto" w:fill="FFFFFF"/>
        </w:rPr>
        <w:t>融资担保机构</w:t>
      </w:r>
      <w:r>
        <w:rPr>
          <w:rFonts w:hint="eastAsia" w:ascii="Times New Roman" w:hAnsi="Times New Roman" w:eastAsia="仿宋_GB2312" w:cs="Times New Roman"/>
          <w:b w:val="0"/>
          <w:bCs/>
          <w:color w:val="auto"/>
          <w:szCs w:val="32"/>
          <w:highlight w:val="none"/>
          <w:u w:val="none"/>
          <w:shd w:val="clear" w:color="auto" w:fill="FFFFFF"/>
          <w:lang w:eastAsia="zh-CN"/>
        </w:rPr>
        <w:t>按照</w:t>
      </w:r>
      <w:r>
        <w:rPr>
          <w:rFonts w:ascii="Times New Roman" w:hAnsi="Times New Roman" w:eastAsia="仿宋_GB2312" w:cs="Times New Roman"/>
          <w:b w:val="0"/>
          <w:bCs/>
          <w:color w:val="auto"/>
          <w:sz w:val="32"/>
          <w:szCs w:val="32"/>
          <w:highlight w:val="none"/>
          <w:u w:val="none"/>
          <w:shd w:val="clear" w:color="auto" w:fill="FFFFFF"/>
        </w:rPr>
        <w:t>上一年度</w:t>
      </w:r>
      <w:r>
        <w:rPr>
          <w:rFonts w:ascii="Times New Roman" w:hAnsi="Times New Roman" w:eastAsia="仿宋_GB2312" w:cs="Times New Roman"/>
          <w:b w:val="0"/>
          <w:color w:val="auto"/>
          <w:szCs w:val="32"/>
          <w:highlight w:val="none"/>
          <w:u w:val="none"/>
          <w:shd w:val="clear" w:color="auto" w:fill="FFFFFF"/>
          <w:lang w:eastAsia="zh-CN"/>
        </w:rPr>
        <w:t>实际</w:t>
      </w:r>
      <w:r>
        <w:rPr>
          <w:rFonts w:ascii="Times New Roman" w:hAnsi="Times New Roman" w:eastAsia="仿宋_GB2312" w:cs="Times New Roman"/>
          <w:b w:val="0"/>
          <w:color w:val="auto"/>
          <w:szCs w:val="32"/>
          <w:highlight w:val="none"/>
          <w:u w:val="none"/>
          <w:shd w:val="clear" w:color="auto" w:fill="FFFFFF"/>
        </w:rPr>
        <w:t>代偿损失</w:t>
      </w:r>
      <w:r>
        <w:rPr>
          <w:rFonts w:hint="eastAsia" w:ascii="仿宋_GB2312" w:hAnsi="仿宋_GB2312" w:eastAsia="仿宋_GB2312" w:cs="仿宋_GB2312"/>
          <w:b w:val="0"/>
          <w:color w:val="auto"/>
          <w:szCs w:val="32"/>
          <w:highlight w:val="none"/>
          <w:u w:val="none"/>
          <w:shd w:val="clear" w:color="auto" w:fill="FFFFFF"/>
        </w:rPr>
        <w:t>金额的30%给予补偿</w:t>
      </w:r>
      <w:r>
        <w:rPr>
          <w:rFonts w:hint="eastAsia" w:ascii="仿宋_GB2312" w:hAnsi="仿宋_GB2312" w:eastAsia="仿宋_GB2312" w:cs="仿宋_GB2312"/>
          <w:b w:val="0"/>
          <w:color w:val="auto"/>
          <w:szCs w:val="32"/>
          <w:highlight w:val="none"/>
          <w:u w:val="none"/>
          <w:shd w:val="clear" w:color="auto" w:fill="FFFFFF"/>
          <w:lang w:eastAsia="zh-CN"/>
        </w:rPr>
        <w:t>。每年每家</w:t>
      </w:r>
      <w:r>
        <w:rPr>
          <w:rFonts w:hint="eastAsia" w:ascii="仿宋_GB2312" w:hAnsi="仿宋_GB2312" w:eastAsia="仿宋_GB2312" w:cs="仿宋_GB2312"/>
          <w:b w:val="0"/>
          <w:color w:val="auto"/>
          <w:szCs w:val="32"/>
          <w:highlight w:val="none"/>
          <w:u w:val="none"/>
          <w:shd w:val="clear" w:color="auto" w:fill="FFFFFF"/>
        </w:rPr>
        <w:t>担保机构补偿金额不超过1000万元。</w:t>
      </w:r>
    </w:p>
    <w:p w14:paraId="246950D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auto"/>
          <w:sz w:val="32"/>
          <w:szCs w:val="32"/>
          <w:highlight w:val="none"/>
          <w:u w:val="none"/>
          <w:shd w:val="clear" w:color="auto" w:fill="FFFFFF"/>
        </w:rPr>
      </w:pPr>
      <w:r>
        <w:rPr>
          <w:rFonts w:ascii="Times New Roman" w:hAnsi="Times New Roman" w:eastAsia="黑体" w:cs="Times New Roman"/>
          <w:b w:val="0"/>
          <w:color w:val="auto"/>
          <w:sz w:val="32"/>
          <w:szCs w:val="32"/>
          <w:highlight w:val="none"/>
          <w:u w:val="none"/>
          <w:shd w:val="clear" w:color="auto" w:fill="FFFFFF"/>
          <w:lang w:eastAsia="zh-CN"/>
        </w:rPr>
        <w:t>第六条</w:t>
      </w:r>
      <w:r>
        <w:rPr>
          <w:rFonts w:ascii="Times New Roman" w:hAnsi="Times New Roman" w:eastAsia="黑体" w:cs="Times New Roman"/>
          <w:b w:val="0"/>
          <w:color w:val="auto"/>
          <w:sz w:val="32"/>
          <w:szCs w:val="32"/>
          <w:highlight w:val="none"/>
          <w:u w:val="none"/>
          <w:shd w:val="clear" w:color="auto" w:fill="FFFFFF"/>
          <w:lang w:val="en-US" w:eastAsia="zh-CN"/>
        </w:rPr>
        <w:t xml:space="preserve"> </w:t>
      </w:r>
      <w:r>
        <w:rPr>
          <w:rFonts w:ascii="Times New Roman" w:hAnsi="Times New Roman" w:eastAsia="黑体" w:cs="Times New Roman"/>
          <w:b w:val="0"/>
          <w:color w:val="auto"/>
          <w:sz w:val="32"/>
          <w:szCs w:val="32"/>
          <w:highlight w:val="none"/>
          <w:u w:val="none"/>
          <w:shd w:val="clear" w:color="auto" w:fill="FFFFFF"/>
        </w:rPr>
        <w:t>融资担保代偿损失金额的认定</w:t>
      </w:r>
    </w:p>
    <w:p w14:paraId="5E6F1D8A">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eastAsia="仿宋_GB2312" w:cs="Times New Roman"/>
          <w:b w:val="0"/>
          <w:color w:val="auto"/>
          <w:szCs w:val="32"/>
          <w:highlight w:val="none"/>
          <w:u w:val="none"/>
          <w:shd w:val="clear" w:color="auto" w:fill="FFFFFF"/>
        </w:rPr>
      </w:pPr>
      <w:r>
        <w:rPr>
          <w:rFonts w:ascii="Times New Roman" w:hAnsi="Times New Roman" w:eastAsia="仿宋_GB2312" w:cs="Times New Roman"/>
          <w:b w:val="0"/>
          <w:color w:val="auto"/>
          <w:szCs w:val="32"/>
          <w:highlight w:val="none"/>
          <w:u w:val="none"/>
          <w:shd w:val="clear" w:color="auto" w:fill="FFFFFF"/>
        </w:rPr>
        <w:t>融资担保代偿金额是指融资担保机构向被担保企业在银行贷款提供融资担保，在贷款到期时，被担保企业未能按协议或合同约定向银行偿还贷款，融资担保机构依据担保协议或担保合同代其偿还的金额。</w:t>
      </w:r>
    </w:p>
    <w:p w14:paraId="6739FA56">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Times New Roman" w:hAnsi="Times New Roman" w:cs="Times New Roman"/>
          <w:color w:val="auto"/>
          <w:highlight w:val="none"/>
          <w:u w:val="none"/>
        </w:rPr>
      </w:pPr>
      <w:r>
        <w:rPr>
          <w:rFonts w:ascii="Times New Roman" w:hAnsi="Times New Roman" w:eastAsia="仿宋_GB2312" w:cs="Times New Roman"/>
          <w:b w:val="0"/>
          <w:color w:val="auto"/>
          <w:szCs w:val="32"/>
          <w:highlight w:val="none"/>
          <w:u w:val="none"/>
          <w:shd w:val="clear" w:color="auto" w:fill="FFFFFF"/>
        </w:rPr>
        <w:t>实际代偿损失额</w:t>
      </w:r>
      <w:r>
        <w:rPr>
          <w:rFonts w:hint="eastAsia" w:ascii="仿宋_GB2312" w:hAnsi="仿宋_GB2312" w:eastAsia="仿宋_GB2312" w:cs="仿宋_GB2312"/>
          <w:b w:val="0"/>
          <w:color w:val="auto"/>
          <w:szCs w:val="32"/>
          <w:highlight w:val="none"/>
          <w:u w:val="none"/>
          <w:shd w:val="clear" w:color="auto" w:fill="FFFFFF"/>
        </w:rPr>
        <w:t>=</w:t>
      </w:r>
      <w:r>
        <w:rPr>
          <w:rFonts w:ascii="Times New Roman" w:hAnsi="Times New Roman" w:eastAsia="仿宋_GB2312" w:cs="Times New Roman"/>
          <w:b w:val="0"/>
          <w:color w:val="auto"/>
          <w:szCs w:val="32"/>
          <w:highlight w:val="none"/>
          <w:u w:val="none"/>
          <w:shd w:val="clear" w:color="auto" w:fill="FFFFFF"/>
        </w:rPr>
        <w:t>担保代偿额</w:t>
      </w:r>
      <w:r>
        <w:rPr>
          <w:rFonts w:hint="eastAsia" w:ascii="汉仪方隶简" w:hAnsi="汉仪方隶简" w:eastAsia="汉仪方隶简" w:cs="汉仪方隶简"/>
          <w:b w:val="0"/>
          <w:color w:val="auto"/>
          <w:szCs w:val="32"/>
          <w:highlight w:val="none"/>
          <w:u w:val="none"/>
          <w:shd w:val="clear" w:color="auto" w:fill="FFFFFF"/>
        </w:rPr>
        <w:t>－</w:t>
      </w:r>
      <w:r>
        <w:rPr>
          <w:rFonts w:ascii="Times New Roman" w:hAnsi="Times New Roman" w:eastAsia="仿宋_GB2312" w:cs="Times New Roman"/>
          <w:b w:val="0"/>
          <w:color w:val="auto"/>
          <w:szCs w:val="32"/>
          <w:highlight w:val="none"/>
          <w:u w:val="none"/>
          <w:shd w:val="clear" w:color="auto" w:fill="FFFFFF"/>
        </w:rPr>
        <w:t>再担保机构、其他政府担保基金及其他担保公司等按照合同约定分担的代偿金额</w:t>
      </w:r>
    </w:p>
    <w:p w14:paraId="046B728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auto"/>
          <w:sz w:val="32"/>
          <w:szCs w:val="32"/>
          <w:highlight w:val="none"/>
          <w:u w:val="none"/>
          <w:shd w:val="clear" w:color="auto" w:fill="FFFFFF"/>
        </w:rPr>
      </w:pPr>
      <w:r>
        <w:rPr>
          <w:rFonts w:ascii="Times New Roman" w:hAnsi="Times New Roman" w:eastAsia="黑体" w:cs="Times New Roman"/>
          <w:color w:val="auto"/>
          <w:sz w:val="32"/>
          <w:szCs w:val="32"/>
          <w:highlight w:val="none"/>
          <w:u w:val="none"/>
          <w:shd w:val="clear" w:color="auto" w:fill="FFFFFF"/>
        </w:rPr>
        <w:t>第七条 工作程序</w:t>
      </w:r>
    </w:p>
    <w:p w14:paraId="7EFCC631">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（一）融资担保机构提出代偿补偿申请。由省科技厅负责牵头组织</w:t>
      </w:r>
      <w:r>
        <w:rPr>
          <w:rFonts w:ascii="Times New Roman" w:hAnsi="Times New Roman" w:cs="Times New Roman"/>
          <w:bCs/>
          <w:color w:val="auto"/>
          <w:kern w:val="0"/>
          <w:highlight w:val="none"/>
          <w:u w:val="none"/>
          <w:lang w:eastAsia="zh-CN" w:bidi="en-US"/>
        </w:rPr>
        <w:t>上</w:t>
      </w:r>
      <w:r>
        <w:rPr>
          <w:rFonts w:ascii="Times New Roman" w:hAnsi="Times New Roman" w:cs="Times New Roman"/>
          <w:bCs/>
          <w:color w:val="auto"/>
          <w:kern w:val="0"/>
          <w:highlight w:val="none"/>
          <w:u w:val="none"/>
          <w:lang w:bidi="en-US"/>
        </w:rPr>
        <w:t>年度为高新技术企业</w:t>
      </w:r>
      <w:r>
        <w:rPr>
          <w:rFonts w:ascii="Times New Roman" w:hAnsi="Times New Roman" w:cs="Times New Roman"/>
          <w:bCs/>
          <w:color w:val="auto"/>
          <w:kern w:val="0"/>
          <w:highlight w:val="none"/>
          <w:u w:val="none"/>
          <w:lang w:eastAsia="zh-CN" w:bidi="en-US"/>
        </w:rPr>
        <w:t>提供</w:t>
      </w:r>
      <w:r>
        <w:rPr>
          <w:rFonts w:ascii="Times New Roman" w:hAnsi="Times New Roman" w:cs="Times New Roman"/>
          <w:bCs/>
          <w:color w:val="auto"/>
          <w:kern w:val="0"/>
          <w:highlight w:val="none"/>
          <w:u w:val="none"/>
          <w:lang w:bidi="en-US"/>
        </w:rPr>
        <w:t>融资担保</w:t>
      </w:r>
      <w:r>
        <w:rPr>
          <w:rFonts w:ascii="Times New Roman" w:hAnsi="Times New Roman" w:cs="Times New Roman"/>
          <w:bCs/>
          <w:color w:val="auto"/>
          <w:kern w:val="0"/>
          <w:highlight w:val="none"/>
          <w:u w:val="none"/>
          <w:lang w:eastAsia="zh-CN" w:bidi="en-US"/>
        </w:rPr>
        <w:t>业务并</w:t>
      </w:r>
      <w:r>
        <w:rPr>
          <w:rFonts w:ascii="Times New Roman" w:hAnsi="Times New Roman" w:cs="Times New Roman"/>
          <w:bCs/>
          <w:color w:val="auto"/>
          <w:kern w:val="0"/>
          <w:highlight w:val="none"/>
          <w:u w:val="none"/>
          <w:lang w:bidi="en-US"/>
        </w:rPr>
        <w:t>实际发生代偿损失的</w:t>
      </w:r>
      <w:r>
        <w:rPr>
          <w:rFonts w:hint="eastAsia" w:ascii="Times New Roman" w:hAnsi="Times New Roman" w:cs="Times New Roman"/>
          <w:bCs/>
          <w:color w:val="auto"/>
          <w:kern w:val="0"/>
          <w:highlight w:val="none"/>
          <w:u w:val="none"/>
          <w:lang w:eastAsia="zh-CN" w:bidi="en-US"/>
        </w:rPr>
        <w:t>省属政府性</w:t>
      </w:r>
      <w:r>
        <w:rPr>
          <w:rFonts w:ascii="Times New Roman" w:hAnsi="Times New Roman" w:cs="Times New Roman"/>
          <w:bCs/>
          <w:color w:val="auto"/>
          <w:kern w:val="0"/>
          <w:highlight w:val="none"/>
          <w:u w:val="none"/>
          <w:lang w:bidi="en-US"/>
        </w:rPr>
        <w:t>融资担保机构统一申报，省科技厅在官网发布申报通知，融资担保机构将项目申请表、担保协议、</w:t>
      </w:r>
      <w:r>
        <w:rPr>
          <w:rFonts w:ascii="Times New Roman" w:hAnsi="Times New Roman" w:eastAsia="仿宋" w:cs="Times New Roman"/>
          <w:b w:val="0"/>
          <w:i w:val="0"/>
          <w:iCs w:val="0"/>
          <w:caps w:val="0"/>
          <w:smallCaps w:val="0"/>
          <w:color w:val="auto"/>
          <w:spacing w:val="0"/>
          <w:kern w:val="2"/>
          <w:sz w:val="32"/>
          <w:szCs w:val="32"/>
          <w:highlight w:val="none"/>
          <w:u w:val="none"/>
          <w:shd w:val="clear" w:color="auto" w:fill="FFFFFF"/>
          <w:lang w:val="en-US" w:eastAsia="zh-CN" w:bidi="ar-SA"/>
        </w:rPr>
        <w:t>担保机构代偿凭证</w:t>
      </w:r>
      <w:r>
        <w:rPr>
          <w:rFonts w:ascii="Times New Roman" w:hAnsi="Times New Roman" w:eastAsia="仿宋" w:cs="Times New Roman"/>
          <w:b w:val="0"/>
          <w:i w:val="0"/>
          <w:iCs w:val="0"/>
          <w:caps w:val="0"/>
          <w:smallCaps w:val="0"/>
          <w:color w:val="auto"/>
          <w:spacing w:val="0"/>
          <w:kern w:val="2"/>
          <w:sz w:val="32"/>
          <w:szCs w:val="32"/>
          <w:highlight w:val="none"/>
          <w:u w:val="none"/>
          <w:shd w:val="clear" w:color="auto" w:fill="FFFFFF"/>
          <w:lang w:eastAsia="zh-CN" w:bidi="ar-SA"/>
        </w:rPr>
        <w:t>、情况说明等材料</w:t>
      </w:r>
      <w:r>
        <w:rPr>
          <w:rFonts w:ascii="Times New Roman" w:hAnsi="Times New Roman" w:cs="Times New Roman"/>
          <w:bCs/>
          <w:color w:val="auto"/>
          <w:kern w:val="0"/>
          <w:highlight w:val="none"/>
          <w:u w:val="none"/>
          <w:lang w:bidi="en-US"/>
        </w:rPr>
        <w:t>报送至省科技厅。</w:t>
      </w:r>
    </w:p>
    <w:p w14:paraId="118694BB">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（二）</w:t>
      </w:r>
      <w:r>
        <w:rPr>
          <w:rFonts w:hint="eastAsia" w:ascii="Times New Roman" w:hAnsi="Times New Roman" w:cs="Times New Roman"/>
          <w:bCs/>
          <w:color w:val="auto"/>
          <w:kern w:val="0"/>
          <w:highlight w:val="none"/>
          <w:u w:val="none"/>
          <w:lang w:val="en-US" w:eastAsia="zh-CN" w:bidi="en-US"/>
        </w:rPr>
        <w:t>省科技厅将</w:t>
      </w:r>
      <w:r>
        <w:rPr>
          <w:rFonts w:ascii="Times New Roman" w:hAnsi="Times New Roman" w:cs="Times New Roman"/>
          <w:bCs/>
          <w:color w:val="auto"/>
          <w:kern w:val="0"/>
          <w:highlight w:val="none"/>
          <w:u w:val="none"/>
          <w:lang w:bidi="en-US"/>
        </w:rPr>
        <w:t>申报材料所涉及</w:t>
      </w:r>
      <w:r>
        <w:rPr>
          <w:rFonts w:ascii="Times New Roman" w:hAnsi="Times New Roman" w:cs="Times New Roman"/>
          <w:bCs/>
          <w:color w:val="auto"/>
          <w:kern w:val="0"/>
          <w:highlight w:val="none"/>
          <w:u w:val="none"/>
          <w:lang w:eastAsia="zh-CN" w:bidi="en-US"/>
        </w:rPr>
        <w:t>借款</w:t>
      </w:r>
      <w:r>
        <w:rPr>
          <w:rFonts w:ascii="Times New Roman" w:hAnsi="Times New Roman" w:cs="Times New Roman"/>
          <w:bCs/>
          <w:color w:val="auto"/>
          <w:kern w:val="0"/>
          <w:highlight w:val="none"/>
          <w:u w:val="none"/>
          <w:lang w:bidi="en-US"/>
        </w:rPr>
        <w:t>企业</w:t>
      </w:r>
      <w:r>
        <w:rPr>
          <w:rFonts w:hint="eastAsia" w:ascii="Times New Roman" w:hAnsi="Times New Roman" w:cs="Times New Roman"/>
          <w:bCs/>
          <w:color w:val="auto"/>
          <w:kern w:val="0"/>
          <w:highlight w:val="none"/>
          <w:u w:val="none"/>
          <w:lang w:val="en-US" w:eastAsia="zh-CN" w:bidi="en-US"/>
        </w:rPr>
        <w:t>名单推送</w:t>
      </w:r>
      <w:r>
        <w:rPr>
          <w:rFonts w:ascii="Times New Roman" w:hAnsi="Times New Roman" w:cs="Times New Roman"/>
          <w:bCs/>
          <w:color w:val="auto"/>
          <w:kern w:val="0"/>
          <w:highlight w:val="none"/>
          <w:u w:val="none"/>
          <w:lang w:bidi="en-US"/>
        </w:rPr>
        <w:t>省</w:t>
      </w:r>
      <w:r>
        <w:rPr>
          <w:rFonts w:hint="eastAsia" w:ascii="Times New Roman" w:hAnsi="Times New Roman" w:cs="Times New Roman"/>
          <w:bCs/>
          <w:color w:val="auto"/>
          <w:kern w:val="0"/>
          <w:highlight w:val="none"/>
          <w:u w:val="none"/>
          <w:lang w:val="en-US" w:eastAsia="zh-CN" w:bidi="en-US"/>
        </w:rPr>
        <w:t>地方</w:t>
      </w:r>
      <w:r>
        <w:rPr>
          <w:rFonts w:ascii="Times New Roman" w:hAnsi="Times New Roman" w:cs="Times New Roman"/>
          <w:bCs/>
          <w:color w:val="auto"/>
          <w:kern w:val="0"/>
          <w:highlight w:val="none"/>
          <w:u w:val="none"/>
          <w:lang w:bidi="en-US"/>
        </w:rPr>
        <w:t>金融管理局</w:t>
      </w:r>
      <w:r>
        <w:rPr>
          <w:rFonts w:hint="eastAsia" w:ascii="Times New Roman" w:hAnsi="Times New Roman" w:cs="Times New Roman"/>
          <w:bCs/>
          <w:color w:val="auto"/>
          <w:kern w:val="0"/>
          <w:highlight w:val="none"/>
          <w:u w:val="none"/>
          <w:lang w:val="en-US" w:eastAsia="zh-CN" w:bidi="en-US"/>
        </w:rPr>
        <w:t>。省地方金融管理局根据黑龙江省级中小企业稳企稳岗基金专项贷款担保业务管理平台数据对企业</w:t>
      </w:r>
      <w:r>
        <w:rPr>
          <w:rFonts w:ascii="Times New Roman" w:hAnsi="Times New Roman" w:cs="Times New Roman"/>
          <w:bCs/>
          <w:color w:val="auto"/>
          <w:kern w:val="0"/>
          <w:highlight w:val="none"/>
          <w:u w:val="none"/>
          <w:lang w:bidi="en-US"/>
        </w:rPr>
        <w:t>是否</w:t>
      </w:r>
      <w:r>
        <w:rPr>
          <w:rFonts w:hint="eastAsia" w:ascii="Times New Roman" w:hAnsi="Times New Roman" w:eastAsia="仿宋_GB2312" w:cs="Times New Roman"/>
          <w:color w:val="auto"/>
          <w:sz w:val="32"/>
          <w:szCs w:val="32"/>
          <w:highlight w:val="none"/>
          <w:u w:val="none"/>
          <w:shd w:val="clear" w:color="auto" w:fill="FFFFFF"/>
          <w:lang w:eastAsia="zh-CN"/>
        </w:rPr>
        <w:t>获得过省级</w:t>
      </w:r>
      <w:r>
        <w:rPr>
          <w:rFonts w:ascii="Times New Roman" w:hAnsi="Times New Roman" w:eastAsia="仿宋_GB2312" w:cs="Times New Roman"/>
          <w:color w:val="auto"/>
          <w:sz w:val="32"/>
          <w:szCs w:val="32"/>
          <w:highlight w:val="none"/>
          <w:u w:val="none"/>
          <w:shd w:val="clear" w:color="auto" w:fill="FFFFFF"/>
        </w:rPr>
        <w:t>稳企稳岗基金担保贷款</w:t>
      </w:r>
      <w:r>
        <w:rPr>
          <w:rFonts w:ascii="Times New Roman" w:hAnsi="Times New Roman" w:cs="Times New Roman"/>
          <w:bCs/>
          <w:color w:val="auto"/>
          <w:kern w:val="0"/>
          <w:highlight w:val="none"/>
          <w:u w:val="none"/>
          <w:lang w:bidi="en-US"/>
        </w:rPr>
        <w:t>情况进行</w:t>
      </w:r>
      <w:r>
        <w:rPr>
          <w:rFonts w:hint="eastAsia" w:ascii="Times New Roman" w:hAnsi="Times New Roman" w:cs="Times New Roman"/>
          <w:bCs/>
          <w:color w:val="auto"/>
          <w:kern w:val="0"/>
          <w:highlight w:val="none"/>
          <w:u w:val="none"/>
          <w:lang w:val="en-US" w:eastAsia="zh-CN" w:bidi="en-US"/>
        </w:rPr>
        <w:t>核查，并将核查情况反馈省科技厅</w:t>
      </w:r>
      <w:r>
        <w:rPr>
          <w:rFonts w:ascii="Times New Roman" w:hAnsi="Times New Roman" w:cs="Times New Roman"/>
          <w:bCs/>
          <w:color w:val="auto"/>
          <w:kern w:val="0"/>
          <w:highlight w:val="none"/>
          <w:u w:val="none"/>
          <w:lang w:bidi="en-US"/>
        </w:rPr>
        <w:t>。</w:t>
      </w:r>
    </w:p>
    <w:p w14:paraId="0E6F9E69">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w:t>
      </w:r>
      <w:r>
        <w:rPr>
          <w:rFonts w:ascii="Times New Roman" w:hAnsi="Times New Roman" w:cs="Times New Roman"/>
          <w:bCs/>
          <w:color w:val="auto"/>
          <w:kern w:val="0"/>
          <w:highlight w:val="none"/>
          <w:u w:val="none"/>
          <w:lang w:eastAsia="zh-CN" w:bidi="en-US"/>
        </w:rPr>
        <w:t>三</w:t>
      </w:r>
      <w:r>
        <w:rPr>
          <w:rFonts w:ascii="Times New Roman" w:hAnsi="Times New Roman" w:cs="Times New Roman"/>
          <w:bCs/>
          <w:color w:val="auto"/>
          <w:kern w:val="0"/>
          <w:highlight w:val="none"/>
          <w:u w:val="none"/>
          <w:lang w:bidi="en-US"/>
        </w:rPr>
        <w:t>）省科技厅组织专家或专业机构对申报材料进行审核，</w:t>
      </w:r>
      <w:r>
        <w:rPr>
          <w:rFonts w:ascii="Times New Roman" w:hAnsi="Times New Roman" w:cs="Times New Roman"/>
          <w:bCs/>
          <w:color w:val="auto"/>
          <w:kern w:val="0"/>
          <w:highlight w:val="none"/>
          <w:u w:val="none"/>
          <w:lang w:eastAsia="zh-CN" w:bidi="en-US"/>
        </w:rPr>
        <w:t>履行省科技厅会议审议程序后，确定</w:t>
      </w:r>
      <w:r>
        <w:rPr>
          <w:rFonts w:hint="eastAsia" w:ascii="Times New Roman" w:hAnsi="Times New Roman" w:cs="Times New Roman"/>
          <w:bCs/>
          <w:color w:val="auto"/>
          <w:kern w:val="0"/>
          <w:highlight w:val="none"/>
          <w:u w:val="none"/>
          <w:lang w:eastAsia="zh-CN" w:bidi="en-US"/>
        </w:rPr>
        <w:t>省属政府性</w:t>
      </w:r>
      <w:r>
        <w:rPr>
          <w:rFonts w:ascii="Times New Roman" w:hAnsi="Times New Roman" w:cs="Times New Roman"/>
          <w:bCs/>
          <w:color w:val="auto"/>
          <w:kern w:val="0"/>
          <w:highlight w:val="none"/>
          <w:u w:val="none"/>
          <w:lang w:eastAsia="zh-CN" w:bidi="en-US"/>
        </w:rPr>
        <w:t>融资担保机构补偿名单及资金分配意见。拟补偿名单</w:t>
      </w:r>
      <w:r>
        <w:rPr>
          <w:rFonts w:ascii="Times New Roman" w:hAnsi="Times New Roman" w:cs="Times New Roman"/>
          <w:bCs/>
          <w:color w:val="auto"/>
          <w:kern w:val="0"/>
          <w:highlight w:val="none"/>
          <w:u w:val="none"/>
          <w:lang w:bidi="en-US"/>
        </w:rPr>
        <w:t>在省科技厅网站公</w:t>
      </w:r>
      <w:r>
        <w:rPr>
          <w:rFonts w:hint="eastAsia" w:ascii="仿宋_GB2312" w:hAnsi="仿宋_GB2312" w:eastAsia="仿宋_GB2312" w:cs="仿宋_GB2312"/>
          <w:bCs/>
          <w:color w:val="auto"/>
          <w:kern w:val="0"/>
          <w:highlight w:val="none"/>
          <w:u w:val="none"/>
          <w:lang w:bidi="en-US"/>
        </w:rPr>
        <w:t>示5个</w:t>
      </w:r>
      <w:r>
        <w:rPr>
          <w:rFonts w:ascii="Times New Roman" w:hAnsi="Times New Roman" w:cs="Times New Roman"/>
          <w:bCs/>
          <w:color w:val="auto"/>
          <w:kern w:val="0"/>
          <w:highlight w:val="none"/>
          <w:u w:val="none"/>
          <w:lang w:bidi="en-US"/>
        </w:rPr>
        <w:t>工作日。公示无异议后，省科技厅会同省财政厅向省政府呈报资金请示，经省政府批复后，省财政厅按规定履行</w:t>
      </w:r>
      <w:r>
        <w:rPr>
          <w:rFonts w:hint="eastAsia" w:ascii="Times New Roman" w:hAnsi="Times New Roman" w:cs="Times New Roman"/>
          <w:bCs/>
          <w:color w:val="auto"/>
          <w:kern w:val="0"/>
          <w:highlight w:val="none"/>
          <w:u w:val="none"/>
          <w:lang w:eastAsia="zh-CN" w:bidi="en-US"/>
        </w:rPr>
        <w:t>省属政府性</w:t>
      </w:r>
      <w:r>
        <w:rPr>
          <w:rFonts w:ascii="Times New Roman" w:hAnsi="Times New Roman" w:cs="Times New Roman"/>
          <w:bCs/>
          <w:color w:val="auto"/>
          <w:kern w:val="0"/>
          <w:highlight w:val="none"/>
          <w:u w:val="none"/>
          <w:lang w:eastAsia="zh-CN" w:bidi="en-US"/>
        </w:rPr>
        <w:t>融资担保机构风险补偿</w:t>
      </w:r>
      <w:r>
        <w:rPr>
          <w:rFonts w:ascii="Times New Roman" w:hAnsi="Times New Roman" w:cs="Times New Roman"/>
          <w:bCs/>
          <w:color w:val="auto"/>
          <w:kern w:val="0"/>
          <w:highlight w:val="none"/>
          <w:u w:val="none"/>
          <w:lang w:bidi="en-US"/>
        </w:rPr>
        <w:t>资金拨付程序。</w:t>
      </w:r>
    </w:p>
    <w:p w14:paraId="26D290BB">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val="en-US" w:eastAsia="zh-CN" w:bidi="en-US"/>
        </w:rPr>
      </w:pPr>
      <w:r>
        <w:rPr>
          <w:rFonts w:ascii="Times New Roman" w:hAnsi="Times New Roman" w:cs="Times New Roman"/>
          <w:bCs/>
          <w:color w:val="auto"/>
          <w:kern w:val="0"/>
          <w:highlight w:val="none"/>
          <w:u w:val="none"/>
          <w:lang w:bidi="en-US"/>
        </w:rPr>
        <w:t>（</w:t>
      </w:r>
      <w:r>
        <w:rPr>
          <w:rFonts w:ascii="Times New Roman" w:hAnsi="Times New Roman" w:cs="Times New Roman"/>
          <w:bCs/>
          <w:color w:val="auto"/>
          <w:kern w:val="0"/>
          <w:highlight w:val="none"/>
          <w:u w:val="none"/>
          <w:lang w:eastAsia="zh-CN" w:bidi="en-US"/>
        </w:rPr>
        <w:t>四</w:t>
      </w:r>
      <w:r>
        <w:rPr>
          <w:rFonts w:ascii="Times New Roman" w:hAnsi="Times New Roman" w:cs="Times New Roman"/>
          <w:bCs/>
          <w:color w:val="auto"/>
          <w:kern w:val="0"/>
          <w:highlight w:val="none"/>
          <w:u w:val="none"/>
          <w:lang w:bidi="en-US"/>
        </w:rPr>
        <w:t>）风险补偿资金追偿。融资担保机构是获得风险补偿担保项目的追偿责任主体。担保项目发生代偿后或取得补偿后，融资担保机构均应协同贷款银行采取措施积极督促贷款企业及时履行还款义务。融资担保机构收到追偿资金，在扣除相应追偿费用后，</w:t>
      </w:r>
      <w:r>
        <w:rPr>
          <w:rFonts w:ascii="Times New Roman" w:hAnsi="Times New Roman" w:cs="Times New Roman"/>
          <w:bCs/>
          <w:color w:val="auto"/>
          <w:kern w:val="0"/>
          <w:highlight w:val="none"/>
          <w:u w:val="none"/>
          <w:lang w:val="en-US" w:eastAsia="zh-CN" w:bidi="en-US"/>
        </w:rPr>
        <w:t>按获得风险补偿资金的比例，返还省科技厅，由省科技厅上缴省级国库。</w:t>
      </w:r>
    </w:p>
    <w:p w14:paraId="51BC32E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auto"/>
          <w:sz w:val="32"/>
          <w:szCs w:val="32"/>
          <w:highlight w:val="none"/>
          <w:u w:val="none"/>
          <w:shd w:val="clear" w:color="auto" w:fill="FFFFFF"/>
        </w:rPr>
      </w:pPr>
      <w:r>
        <w:rPr>
          <w:rFonts w:ascii="Times New Roman" w:hAnsi="Times New Roman" w:eastAsia="黑体" w:cs="Times New Roman"/>
          <w:color w:val="auto"/>
          <w:sz w:val="32"/>
          <w:szCs w:val="32"/>
          <w:highlight w:val="none"/>
          <w:u w:val="none"/>
          <w:shd w:val="clear" w:color="auto" w:fill="FFFFFF"/>
        </w:rPr>
        <w:t>第八条 监督管理</w:t>
      </w:r>
    </w:p>
    <w:p w14:paraId="627D77AF">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一）申报单位应对其提交申报材料的真实性、准确性、完整性、规范性负责并承担申报主体责任，自觉接受并积极配合省级主管部门及有关部门的监督管理。对于存在弄虚作假骗取风险补偿资金的融资担保机构，一律取消</w:t>
      </w:r>
      <w:r>
        <w:rPr>
          <w:rFonts w:ascii="Times New Roman" w:hAnsi="Times New Roman" w:cs="Times New Roman"/>
          <w:bCs/>
          <w:color w:val="auto"/>
          <w:kern w:val="0"/>
          <w:highlight w:val="none"/>
          <w:u w:val="none"/>
          <w:lang w:val="en-US" w:eastAsia="zh-CN" w:bidi="en-US"/>
        </w:rPr>
        <w:t>奖励资</w:t>
      </w:r>
      <w:r>
        <w:rPr>
          <w:rFonts w:ascii="Times New Roman" w:hAnsi="Times New Roman" w:cs="Times New Roman"/>
          <w:bCs/>
          <w:color w:val="auto"/>
          <w:kern w:val="0"/>
          <w:highlight w:val="none"/>
          <w:u w:val="none"/>
          <w:lang w:bidi="en-US"/>
        </w:rPr>
        <w:t>格，追回资金，依法依规严肃追究相关单位及人员责任。</w:t>
      </w:r>
    </w:p>
    <w:p w14:paraId="0BED2BD5">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（二）省科技厅牵头负责</w:t>
      </w:r>
      <w:r>
        <w:rPr>
          <w:rFonts w:hint="eastAsia" w:ascii="Times New Roman" w:hAnsi="Times New Roman" w:cs="Times New Roman"/>
          <w:bCs/>
          <w:color w:val="auto"/>
          <w:kern w:val="0"/>
          <w:highlight w:val="none"/>
          <w:u w:val="none"/>
          <w:lang w:eastAsia="zh-CN" w:bidi="en-US"/>
        </w:rPr>
        <w:t>省属政府性</w:t>
      </w:r>
      <w:r>
        <w:rPr>
          <w:rFonts w:ascii="Times New Roman" w:hAnsi="Times New Roman" w:cs="Times New Roman"/>
          <w:bCs/>
          <w:color w:val="auto"/>
          <w:kern w:val="0"/>
          <w:highlight w:val="none"/>
          <w:u w:val="none"/>
          <w:lang w:bidi="en-US"/>
        </w:rPr>
        <w:t>融资担保机构</w:t>
      </w:r>
      <w:r>
        <w:rPr>
          <w:rFonts w:ascii="Times New Roman" w:hAnsi="Times New Roman" w:cs="Times New Roman"/>
          <w:bCs/>
          <w:color w:val="auto"/>
          <w:kern w:val="0"/>
          <w:highlight w:val="none"/>
          <w:u w:val="none"/>
          <w:lang w:eastAsia="zh-CN" w:bidi="en-US"/>
        </w:rPr>
        <w:t>担保代偿补偿</w:t>
      </w:r>
      <w:r>
        <w:rPr>
          <w:rFonts w:ascii="Times New Roman" w:hAnsi="Times New Roman" w:cs="Times New Roman"/>
          <w:bCs/>
          <w:color w:val="auto"/>
          <w:kern w:val="0"/>
          <w:highlight w:val="none"/>
          <w:u w:val="none"/>
          <w:lang w:bidi="en-US"/>
        </w:rPr>
        <w:t>政策兑现</w:t>
      </w:r>
      <w:r>
        <w:rPr>
          <w:rFonts w:hint="eastAsia" w:ascii="Times New Roman" w:hAnsi="Times New Roman" w:cs="Times New Roman"/>
          <w:bCs/>
          <w:color w:val="auto"/>
          <w:kern w:val="0"/>
          <w:highlight w:val="none"/>
          <w:u w:val="none"/>
          <w:lang w:eastAsia="zh-CN" w:bidi="en-US"/>
        </w:rPr>
        <w:t>、追偿</w:t>
      </w:r>
      <w:r>
        <w:rPr>
          <w:rFonts w:ascii="Times New Roman" w:hAnsi="Times New Roman" w:cs="Times New Roman"/>
          <w:bCs/>
          <w:color w:val="auto"/>
          <w:kern w:val="0"/>
          <w:highlight w:val="none"/>
          <w:u w:val="none"/>
          <w:lang w:bidi="en-US"/>
        </w:rPr>
        <w:t>的组织实施，履行财会监督责任，加强对政策执行情况和资金使用的监督，严格支出管理和财务管理等。各资金使用单位要加强内部监督，加强对本单位政策执行和资金使用的日常监督。省财政厅负责统筹做好政策资金保障和分解下达，督促组织做好政策执行情况的财会监督，对发现的问题及时纠偏。任何单位和个人不得以任何理由截留、挤占或挪用专项资金。</w:t>
      </w:r>
    </w:p>
    <w:p w14:paraId="41CF3547">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三）第三方评审要实施全程操作留痕，做到相关操作记录可查询、可追溯，确保评审过程的客观性和规范性，对评审结果负责并承担相应的法律责任。省科技厅对第三方评审过程进行全程跟踪监督，对专家或第三方机构审核的结果进行复核，确保评审结果的准确性和真实性。</w:t>
      </w:r>
    </w:p>
    <w:p w14:paraId="182F41A3">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eastAsia="黑体" w:cs="Times New Roman"/>
          <w:bCs/>
          <w:color w:val="auto"/>
          <w:kern w:val="0"/>
          <w:highlight w:val="none"/>
          <w:u w:val="none"/>
          <w:lang w:bidi="en-US"/>
        </w:rPr>
      </w:pPr>
      <w:r>
        <w:rPr>
          <w:rFonts w:ascii="Times New Roman" w:hAnsi="Times New Roman" w:eastAsia="黑体" w:cs="Times New Roman"/>
          <w:bCs/>
          <w:color w:val="auto"/>
          <w:kern w:val="0"/>
          <w:highlight w:val="none"/>
          <w:u w:val="none"/>
          <w:lang w:bidi="en-US"/>
        </w:rPr>
        <w:t>第九条 绩效管理</w:t>
      </w:r>
    </w:p>
    <w:p w14:paraId="22C7D142">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（一）省财政厅负责督促指导省科技厅开展预算绩效管理工作。省科技厅负责全过程绩效管理，组织开展专项资金绩效目标管理、绩效运行监控、部门绩效评价等绩效管理工作。</w:t>
      </w:r>
    </w:p>
    <w:p w14:paraId="28CBC72C">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（二）加强事前绩效目标管理。省科技厅根据政策目标和行业领域发展导向，组织设定可量化、可衡量、可定性并且符合行业特点以及具备产出效果的绩效目标，作为</w:t>
      </w:r>
      <w:r>
        <w:rPr>
          <w:rFonts w:ascii="Times New Roman" w:hAnsi="Times New Roman" w:cs="Times New Roman"/>
          <w:bCs/>
          <w:color w:val="auto"/>
          <w:kern w:val="0"/>
          <w:highlight w:val="none"/>
          <w:u w:val="none"/>
          <w:lang w:eastAsia="zh-CN" w:bidi="en-US"/>
        </w:rPr>
        <w:t>纳入预算的前置</w:t>
      </w:r>
      <w:r>
        <w:rPr>
          <w:rFonts w:hint="eastAsia" w:ascii="Times New Roman" w:hAnsi="Times New Roman" w:cs="Times New Roman"/>
          <w:bCs/>
          <w:color w:val="auto"/>
          <w:kern w:val="0"/>
          <w:highlight w:val="none"/>
          <w:u w:val="none"/>
          <w:lang w:eastAsia="zh-CN" w:bidi="en-US"/>
        </w:rPr>
        <w:t>要</w:t>
      </w:r>
      <w:r>
        <w:rPr>
          <w:rFonts w:ascii="Times New Roman" w:hAnsi="Times New Roman" w:cs="Times New Roman"/>
          <w:bCs/>
          <w:color w:val="auto"/>
          <w:kern w:val="0"/>
          <w:highlight w:val="none"/>
          <w:u w:val="none"/>
          <w:lang w:bidi="en-US"/>
        </w:rPr>
        <w:t>件。</w:t>
      </w:r>
    </w:p>
    <w:p w14:paraId="1CFA5254">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（三）加强事中绩效运行监控。省科技厅在政策实施过程中，组织开展绩效目标实现程度和预算执行</w:t>
      </w:r>
      <w:r>
        <w:rPr>
          <w:rFonts w:hint="eastAsia" w:ascii="仿宋_GB2312" w:hAnsi="仿宋_GB2312" w:eastAsia="仿宋_GB2312" w:cs="仿宋_GB2312"/>
          <w:bCs/>
          <w:color w:val="auto"/>
          <w:kern w:val="0"/>
          <w:highlight w:val="none"/>
          <w:u w:val="none"/>
          <w:lang w:bidi="en-US"/>
        </w:rPr>
        <w:t>进度“双监控”，</w:t>
      </w:r>
      <w:r>
        <w:rPr>
          <w:rFonts w:ascii="Times New Roman" w:hAnsi="Times New Roman" w:cs="Times New Roman"/>
          <w:bCs/>
          <w:color w:val="auto"/>
          <w:kern w:val="0"/>
          <w:highlight w:val="none"/>
          <w:u w:val="none"/>
          <w:lang w:bidi="en-US"/>
        </w:rPr>
        <w:t>对监控中发现政策导向偏离绩效目标及管理漏洞的，及时纠正偏差。</w:t>
      </w:r>
    </w:p>
    <w:p w14:paraId="747CB7E1">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（四）加强事后绩效评价。省科技厅负责对照绩效目标做好事后绩效评价工作，聚焦投入产出效益，对政策实施效果和</w:t>
      </w:r>
      <w:r>
        <w:rPr>
          <w:rFonts w:hint="eastAsia" w:ascii="仿宋_GB2312" w:hAnsi="仿宋_GB2312" w:eastAsia="仿宋_GB2312" w:cs="仿宋_GB2312"/>
          <w:bCs/>
          <w:color w:val="auto"/>
          <w:kern w:val="0"/>
          <w:highlight w:val="none"/>
          <w:u w:val="none"/>
          <w:lang w:bidi="en-US"/>
        </w:rPr>
        <w:t>资金使用情况开展“双评价”，提升</w:t>
      </w:r>
      <w:r>
        <w:rPr>
          <w:rFonts w:ascii="Times New Roman" w:hAnsi="Times New Roman" w:cs="Times New Roman"/>
          <w:bCs/>
          <w:color w:val="auto"/>
          <w:kern w:val="0"/>
          <w:highlight w:val="none"/>
          <w:u w:val="none"/>
          <w:lang w:bidi="en-US"/>
        </w:rPr>
        <w:t>绩效评价质量和实效。健全评价指标体系，</w:t>
      </w:r>
      <w:r>
        <w:rPr>
          <w:rFonts w:ascii="Times New Roman" w:hAnsi="Times New Roman" w:cs="Times New Roman"/>
          <w:color w:val="auto"/>
          <w:highlight w:val="none"/>
          <w:u w:val="none"/>
          <w:lang w:eastAsia="zh-CN"/>
        </w:rPr>
        <w:t>将包括但不限于</w:t>
      </w:r>
      <w:r>
        <w:rPr>
          <w:rStyle w:val="13"/>
          <w:rFonts w:ascii="Times New Roman" w:hAnsi="Times New Roman" w:eastAsia="仿宋_GB2312" w:cs="Times New Roman"/>
          <w:b w:val="0"/>
          <w:color w:val="auto"/>
          <w:sz w:val="32"/>
          <w:szCs w:val="32"/>
          <w:highlight w:val="none"/>
          <w:u w:val="none"/>
        </w:rPr>
        <w:t>专项科技担保产品</w:t>
      </w:r>
      <w:r>
        <w:rPr>
          <w:rFonts w:ascii="Times New Roman" w:hAnsi="Times New Roman" w:cs="Times New Roman"/>
          <w:color w:val="auto"/>
          <w:highlight w:val="none"/>
          <w:u w:val="none"/>
          <w:lang w:eastAsia="zh-CN"/>
        </w:rPr>
        <w:t>支持高新技术企业担保贷款投放覆盖数量（户）、高新技术企业担保项目金额等个性化指标作为产出效益评价重点</w:t>
      </w:r>
      <w:r>
        <w:rPr>
          <w:rFonts w:ascii="Times New Roman" w:hAnsi="Times New Roman" w:cs="Times New Roman"/>
          <w:bCs/>
          <w:color w:val="auto"/>
          <w:kern w:val="0"/>
          <w:highlight w:val="none"/>
          <w:u w:val="none"/>
          <w:lang w:bidi="en-US"/>
        </w:rPr>
        <w:t>。加强绩效评价结果应用，将评价结果作为政策调整、预算安排和资金分配的重要依据，对于产出效益未达预期的，对政策延续实施的必要性开展评估，根据评估结果提出应用措施。</w:t>
      </w:r>
    </w:p>
    <w:p w14:paraId="5A81DA14">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eastAsia="黑体" w:cs="Times New Roman"/>
          <w:b/>
          <w:color w:val="auto"/>
          <w:highlight w:val="none"/>
          <w:u w:val="none"/>
        </w:rPr>
      </w:pPr>
      <w:r>
        <w:rPr>
          <w:rFonts w:ascii="Times New Roman" w:hAnsi="Times New Roman" w:eastAsia="黑体" w:cs="Times New Roman"/>
          <w:bCs/>
          <w:color w:val="auto"/>
          <w:kern w:val="0"/>
          <w:highlight w:val="none"/>
          <w:u w:val="none"/>
          <w:lang w:bidi="en-US"/>
        </w:rPr>
        <w:t>第十条</w:t>
      </w:r>
      <w:r>
        <w:rPr>
          <w:rFonts w:ascii="Times New Roman" w:hAnsi="Times New Roman" w:eastAsia="黑体" w:cs="Times New Roman"/>
          <w:bCs/>
          <w:color w:val="auto"/>
          <w:kern w:val="0"/>
          <w:highlight w:val="none"/>
          <w:u w:val="none"/>
          <w:lang w:val="en-US" w:bidi="en-US"/>
        </w:rPr>
        <w:t xml:space="preserve"> </w:t>
      </w:r>
      <w:r>
        <w:rPr>
          <w:rFonts w:ascii="Times New Roman" w:hAnsi="Times New Roman" w:eastAsia="黑体" w:cs="Times New Roman"/>
          <w:bCs/>
          <w:color w:val="auto"/>
          <w:highlight w:val="none"/>
          <w:u w:val="none"/>
        </w:rPr>
        <w:t>附则</w:t>
      </w:r>
    </w:p>
    <w:p w14:paraId="3377150A">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cs="Times New Roman"/>
          <w:bCs/>
          <w:color w:val="auto"/>
          <w:kern w:val="0"/>
          <w:highlight w:val="none"/>
          <w:u w:val="none"/>
          <w:lang w:bidi="en-US"/>
        </w:rPr>
      </w:pPr>
      <w:r>
        <w:rPr>
          <w:rFonts w:ascii="Times New Roman" w:hAnsi="Times New Roman" w:cs="Times New Roman"/>
          <w:bCs/>
          <w:color w:val="auto"/>
          <w:kern w:val="0"/>
          <w:highlight w:val="none"/>
          <w:u w:val="none"/>
          <w:lang w:bidi="en-US"/>
        </w:rPr>
        <w:t>（一）本细则由省科技厅、省财政厅、省</w:t>
      </w:r>
      <w:r>
        <w:rPr>
          <w:rFonts w:hint="eastAsia" w:ascii="Times New Roman" w:hAnsi="Times New Roman" w:cs="Times New Roman"/>
          <w:bCs/>
          <w:color w:val="auto"/>
          <w:kern w:val="0"/>
          <w:highlight w:val="none"/>
          <w:u w:val="none"/>
          <w:lang w:eastAsia="zh-CN" w:bidi="en-US"/>
        </w:rPr>
        <w:t>地方</w:t>
      </w:r>
      <w:r>
        <w:rPr>
          <w:rFonts w:ascii="Times New Roman" w:hAnsi="Times New Roman" w:cs="Times New Roman"/>
          <w:bCs/>
          <w:color w:val="auto"/>
          <w:kern w:val="0"/>
          <w:highlight w:val="none"/>
          <w:u w:val="none"/>
          <w:lang w:bidi="en-US"/>
        </w:rPr>
        <w:t>金融管理局依据职责负责解释。</w:t>
      </w:r>
    </w:p>
    <w:p w14:paraId="613F63C6">
      <w:pPr>
        <w:pStyle w:val="17"/>
        <w:keepNext w:val="0"/>
        <w:keepLines w:val="0"/>
        <w:pageBreakBefore w:val="0"/>
        <w:widowControl w:val="0"/>
        <w:kinsoku/>
        <w:wordWrap/>
        <w:overflowPunct/>
        <w:topLinePunct w:val="0"/>
        <w:autoSpaceDE/>
        <w:autoSpaceDN/>
        <w:bidi w:val="0"/>
        <w:spacing w:line="560" w:lineRule="exact"/>
        <w:ind w:firstLine="615"/>
        <w:textAlignment w:val="auto"/>
        <w:rPr>
          <w:rFonts w:ascii="Times New Roman" w:hAnsi="Times New Roman" w:eastAsia="仿宋_GB2312" w:cs="Times New Roman"/>
          <w:bCs/>
          <w:color w:val="auto"/>
          <w:kern w:val="0"/>
          <w:highlight w:val="none"/>
          <w:u w:val="none"/>
          <w:lang w:eastAsia="zh-CN" w:bidi="en-US"/>
        </w:rPr>
      </w:pPr>
      <w:r>
        <w:rPr>
          <w:rFonts w:ascii="Times New Roman" w:hAnsi="Times New Roman" w:cs="Times New Roman"/>
          <w:bCs/>
          <w:color w:val="auto"/>
          <w:kern w:val="0"/>
          <w:highlight w:val="none"/>
          <w:u w:val="none"/>
          <w:lang w:eastAsia="zh-CN" w:bidi="en-US"/>
        </w:rPr>
        <w:t>（二）各市（地）担保代偿补偿政策可参照本实施细则执行。</w:t>
      </w:r>
    </w:p>
    <w:p w14:paraId="7BBB6A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bCs/>
          <w:color w:val="auto"/>
          <w:kern w:val="0"/>
          <w:sz w:val="32"/>
          <w:szCs w:val="32"/>
          <w:highlight w:val="none"/>
          <w:u w:val="none"/>
          <w:lang w:val="en-US" w:eastAsia="zh-CN" w:bidi="en-US"/>
        </w:rPr>
      </w:pPr>
      <w:r>
        <w:rPr>
          <w:rFonts w:ascii="Times New Roman" w:hAnsi="Times New Roman" w:eastAsia="仿宋_GB2312" w:cs="Times New Roman"/>
          <w:bCs/>
          <w:color w:val="auto"/>
          <w:kern w:val="0"/>
          <w:sz w:val="32"/>
          <w:szCs w:val="32"/>
          <w:highlight w:val="none"/>
          <w:u w:val="none"/>
          <w:lang w:val="en-US" w:eastAsia="zh-CN" w:bidi="en-US"/>
        </w:rPr>
        <w:t>（三）本细则自印发之日起实施，执行期限与</w:t>
      </w:r>
      <w:r>
        <w:rPr>
          <w:rFonts w:ascii="Times New Roman" w:hAnsi="Times New Roman" w:eastAsia="仿宋_GB2312" w:cs="Times New Roman"/>
          <w:color w:val="auto"/>
          <w:sz w:val="32"/>
          <w:szCs w:val="32"/>
          <w:highlight w:val="none"/>
          <w:u w:val="none"/>
          <w:lang w:eastAsia="zh-CN"/>
        </w:rPr>
        <w:t>《关于实施科技创新专项担保计划的通知》</w:t>
      </w:r>
      <w:r>
        <w:rPr>
          <w:rFonts w:ascii="Times New Roman" w:hAnsi="Times New Roman" w:eastAsia="仿宋_GB2312" w:cs="Times New Roman"/>
          <w:bCs/>
          <w:color w:val="auto"/>
          <w:kern w:val="0"/>
          <w:sz w:val="32"/>
          <w:szCs w:val="32"/>
          <w:highlight w:val="none"/>
          <w:u w:val="none"/>
          <w:lang w:val="en-US" w:eastAsia="zh-CN" w:bidi="en-US"/>
        </w:rPr>
        <w:t>《黑龙江省加大力度支持科技型企业融资行动实施方案》保持一致。期间如有变化，将按规定进行调整。结合政策执行实际情况，省科技厅</w:t>
      </w:r>
      <w:r>
        <w:rPr>
          <w:rFonts w:ascii="Times New Roman" w:hAnsi="Times New Roman" w:eastAsia="仿宋_GB2312" w:cs="Times New Roman"/>
          <w:bCs/>
          <w:color w:val="auto"/>
          <w:kern w:val="0"/>
          <w:sz w:val="32"/>
          <w:szCs w:val="32"/>
          <w:highlight w:val="none"/>
          <w:u w:val="none"/>
          <w:lang w:eastAsia="zh-CN" w:bidi="en-US"/>
        </w:rPr>
        <w:t>将</w:t>
      </w:r>
      <w:r>
        <w:rPr>
          <w:rFonts w:ascii="Times New Roman" w:hAnsi="Times New Roman" w:eastAsia="仿宋_GB2312" w:cs="Times New Roman"/>
          <w:bCs/>
          <w:color w:val="auto"/>
          <w:kern w:val="0"/>
          <w:sz w:val="32"/>
          <w:szCs w:val="32"/>
          <w:highlight w:val="none"/>
          <w:u w:val="none"/>
          <w:lang w:val="en-US" w:eastAsia="zh-CN" w:bidi="en-US"/>
        </w:rPr>
        <w:t>及时对专项资金支持成效开展评估论证，建立财政投入动态调整机制。</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方隶简">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ACC0">
    <w:pPr>
      <w:pStyle w:val="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14:paraId="0C06B0CD">
                          <w:pPr>
                            <w:pStyle w:val="7"/>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YyYrgAMCAADzAwAADgAAAGRycy9lMm9Eb2MueG1srVNLjhMx&#10;EN0jcQfLe9L5MIFppTNCRIOQEIw0cADH7U5b8k9VTrrDAeAGrNiwn3PlHJTd+YyGzSzYdJft8qt6&#10;r54XN701bKcAtXcVn4zGnCknfa3dpuLfvt6+essZRuFqYbxTFd8r5DfLly8WXSjV1Lfe1AoYgTgs&#10;u1DxNsZQFgXKVlmBIx+Uo8PGgxWRlrApahAdoVtTTMfjedF5qAN4qRBpdzUc8iMiPAfQN42WauXl&#10;1ioXB1RQRkSihK0OyJe526ZRMn5pGlSRmYoT05i/VITidfoWy4UoNyBCq+WxBfGcFp5wskI7KnqG&#10;Woko2Bb0P1BWS/DomziS3hYDkawIsZiMn2hz34qgMheSGsNZdPx/sPLz7g6YrskJnDlhaeCHXz8P&#10;vx8Of36wSZKnC1hS1n24g+MKKUxc+wZs+hML1mdJ92dJVR+ZpM030/n1a84knUxms8nVdYIsLncD&#10;YPygvGUpqDjQwLKOYvcJ45B6SkmlnL/VxtC+KI1jXcXnsysapRRkxIYMQKENRAbdJsM8yk8wK4Et&#10;2wnyAnqj62H64LeuHkoZR80lwgPFFMV+3dNhCte+3pNY9Hao09bDd846ck7FHT0UzsxHR4NJJjsF&#10;cArWp0A4SRcrTo0O4fs4mHEbQG9awh3nvjG820bimiW41D52R17IIh59m8z2eJ2zLm91+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yeL1QAAAAMBAAAPAAAAAAAAAAEAIAAAACIAAABkcnMvZG93&#10;bnJldi54bWxQSwECFAAUAAAACACHTuJAYyYrgAMCAADzAwAADgAAAAAAAAABACAAAAAkAQAAZHJz&#10;L2Uyb0RvYy54bWxQSwUGAAAAAAYABgBZAQAAmQUAAAAA&#10;">
              <v:fill on="f" focussize="0,0"/>
              <v:stroke on="f" weight="0.5pt" joinstyle="round"/>
              <v:imagedata o:title=""/>
              <o:lock v:ext="edit" aspectratio="f"/>
              <v:textbox inset="0mm,0mm,0mm,0mm" style="mso-fit-shape-to-text:t;">
                <w:txbxContent>
                  <w:p w14:paraId="0C06B0CD">
                    <w:pPr>
                      <w:pStyle w:val="7"/>
                    </w:pPr>
                    <w:r>
                      <w:fldChar w:fldCharType="begin"/>
                    </w:r>
                    <w:r>
                      <w:instrText xml:space="preserve"> PAGE  \* MERGEFORMAT </w:instrText>
                    </w:r>
                    <w:r>
                      <w:fldChar w:fldCharType="separate"/>
                    </w:r>
                    <w:r>
                      <w:t>6</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WYzNjQwMTQ4NTVkZWRjMjBlOTk1MjFhOWM3NGE0NjMifQ=="/>
    <w:docVar w:name="KSO_WPS_MARK_KEY" w:val="bbab78b2-5d48-4fe7-98e6-0caf9a064016"/>
  </w:docVars>
  <w:rsids>
    <w:rsidRoot w:val="00000000"/>
    <w:rsid w:val="7B399238"/>
    <w:rsid w:val="7D1559EB"/>
    <w:rsid w:val="DE3E0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Times New Roman"/>
      <w:kern w:val="0"/>
      <w:sz w:val="24"/>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styleId="18">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3203</Words>
  <Characters>3288</Characters>
  <Lines>161</Lines>
  <Paragraphs>64</Paragraphs>
  <TotalTime>6</TotalTime>
  <ScaleCrop>false</ScaleCrop>
  <LinksUpToDate>false</LinksUpToDate>
  <CharactersWithSpaces>3362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2024-07-22T09:28:00Z</dcterms:created>
  <dc:creator>张薇</dc:creator>
  <cp:lastModifiedBy>GS</cp:lastModifiedBy>
  <cp:lastPrinted>2024-08-10T23:22:00Z</cp:lastPrinted>
  <dcterms:modified xsi:type="dcterms:W3CDTF">2024-08-23T08:17:13Z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B800F37C0B484EB8869BBCF5F80AD3AA</vt:lpwstr>
  </property>
</Properties>
</file>