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637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r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  <w:t>附件2</w:t>
      </w:r>
    </w:p>
    <w:p w14:paraId="3659AB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Arial"/>
          <w:color w:val="auto"/>
          <w:kern w:val="2"/>
          <w:sz w:val="44"/>
          <w:szCs w:val="44"/>
          <w:lang w:val="en-US" w:eastAsia="zh-CN" w:bidi="ar-SA"/>
        </w:rPr>
      </w:pPr>
    </w:p>
    <w:p w14:paraId="74C9FF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Arial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Arial"/>
          <w:color w:val="auto"/>
          <w:kern w:val="2"/>
          <w:sz w:val="44"/>
          <w:szCs w:val="44"/>
          <w:lang w:val="en-US" w:eastAsia="zh-CN" w:bidi="ar-SA"/>
        </w:rPr>
        <w:t>高校、科研院所成果转化奖励细则</w:t>
      </w:r>
    </w:p>
    <w:p w14:paraId="64AE378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 w:cs="Arial"/>
          <w:bCs/>
          <w:color w:val="auto"/>
          <w:sz w:val="32"/>
          <w:szCs w:val="32"/>
        </w:rPr>
      </w:pPr>
    </w:p>
    <w:p w14:paraId="2808521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/>
        </w:rPr>
        <w:t>一、支持对象</w:t>
      </w:r>
    </w:p>
    <w:p w14:paraId="087989C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上年度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eastAsia="zh-CN"/>
        </w:rPr>
        <w:t>在省内落地科技成果转化项目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的省内高校、科研院所。</w:t>
      </w:r>
    </w:p>
    <w:p w14:paraId="62B02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二、支持条件</w:t>
      </w:r>
    </w:p>
    <w:p w14:paraId="6E68EDB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（一）我省高校、科研院所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签订技术转让、技术许可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在“全国技术合同网上登记系统”完成认定登记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  <w:t>或已签订作价入股协议。</w:t>
      </w:r>
    </w:p>
    <w:p w14:paraId="15B047B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（二）技术交易未享受过省级财政补助，合同到账金额（发票及付款截至申报日）或有关股权折算金额在300万元以上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eastAsia="zh-CN"/>
        </w:rPr>
        <w:t>（以增资入股协议为准）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。</w:t>
      </w:r>
    </w:p>
    <w:p w14:paraId="19B8BE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（三）转让的知识产权成果，须已在相应知识产权国家管理部门完成权属变更。</w:t>
      </w:r>
    </w:p>
    <w:p w14:paraId="5335440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（四）交易的科技成果买方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  <w:t>或作价入股的主体（即被入股企业）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应为我省企业。</w:t>
      </w:r>
    </w:p>
    <w:p w14:paraId="55DEE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三、支持方式与标准</w:t>
      </w:r>
    </w:p>
    <w:p w14:paraId="0F1F07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高校、科研院所成果转化奖励资金采取后补助方式。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对高校、科研院所以转让、许可、作价入股等形式在省内落地的科技成果转化项目，根据技术合同到账金额或有关股权折算金额在300万元（含300万元）以上的，按规定给予成果出让单位到账金额或股权折算金额20%奖励，每项最高奖励1000万元。</w:t>
      </w:r>
    </w:p>
    <w:p w14:paraId="7FAEBA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Calibri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黑体"/>
          <w:bCs/>
          <w:color w:val="auto"/>
          <w:kern w:val="2"/>
          <w:sz w:val="32"/>
          <w:szCs w:val="32"/>
          <w:lang w:val="en-US" w:eastAsia="zh-CN" w:bidi="ar-SA"/>
        </w:rPr>
        <w:t>四、工作程序</w:t>
      </w:r>
    </w:p>
    <w:p w14:paraId="68D322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提取数据。</w:t>
      </w:r>
      <w:r>
        <w:rPr>
          <w:rFonts w:ascii="Times New Roman" w:hAnsi="Times New Roman" w:eastAsia="仿宋_GB2312"/>
          <w:sz w:val="32"/>
          <w:szCs w:val="32"/>
        </w:rPr>
        <w:t>省科技厅通过全国技术合同认定登记系统，提取省内高校、科研院所作为卖方的技术合同认定登记数据。</w:t>
      </w:r>
    </w:p>
    <w:p w14:paraId="6748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申报。省科技厅每年公开发布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高校、科研院所成果转化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奖励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申报通知。相关单位按照本实施细则和通知要求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申报材料，报送所属市（地）科技主管部门。</w:t>
      </w:r>
    </w:p>
    <w:p w14:paraId="68A9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）市（地）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 w:cs="Arial"/>
          <w:color w:val="000000"/>
          <w:sz w:val="32"/>
          <w:szCs w:val="32"/>
        </w:rPr>
        <w:t>推荐。各市（地）科技主管部门对本地申报的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材料</w:t>
      </w:r>
      <w:r>
        <w:rPr>
          <w:rFonts w:hint="eastAsia" w:ascii="仿宋_GB2312" w:eastAsia="仿宋_GB2312" w:cs="Arial"/>
          <w:color w:val="000000"/>
          <w:sz w:val="32"/>
          <w:szCs w:val="32"/>
        </w:rPr>
        <w:t>进行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ascii="仿宋_GB2312" w:eastAsia="仿宋_GB2312" w:cs="Arial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</w:rPr>
        <w:t>汇总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</w:rPr>
        <w:t>推荐并报送省科技厅。</w:t>
      </w:r>
    </w:p>
    <w:p w14:paraId="73538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 w:cs="Arial"/>
          <w:color w:val="000000"/>
          <w:sz w:val="32"/>
          <w:szCs w:val="32"/>
        </w:rPr>
        <w:t>公示。省科技厅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组织有关单位对申报材料的完整性、技术交易数据的真实性、准确性等进行审核，根据审核结果，履行厅内会议审议程序后，确定拟奖励名单和资金分配意见。拟奖励名单</w:t>
      </w:r>
      <w:r>
        <w:rPr>
          <w:rFonts w:hint="eastAsia" w:ascii="仿宋_GB2312" w:eastAsia="仿宋_GB2312" w:cs="Arial"/>
          <w:color w:val="000000"/>
          <w:sz w:val="32"/>
          <w:szCs w:val="32"/>
        </w:rPr>
        <w:t>在省科技厅门户网站公示5个工作日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确因需要可按规定延长。公示期间有异议的，省科技厅应及时核实处理。</w:t>
      </w:r>
    </w:p>
    <w:p w14:paraId="1BA2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）下达资金。公示期满无异议后，省科技会同省财政厅向省政府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联合</w:t>
      </w:r>
      <w:r>
        <w:rPr>
          <w:rFonts w:hint="eastAsia" w:ascii="仿宋_GB2312" w:eastAsia="仿宋_GB2312" w:cs="Arial"/>
          <w:color w:val="000000"/>
          <w:sz w:val="32"/>
          <w:szCs w:val="32"/>
        </w:rPr>
        <w:t>呈报资金请示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按规定履行资金拨付程序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。</w:t>
      </w:r>
    </w:p>
    <w:p w14:paraId="766B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五、监督管理</w:t>
      </w:r>
    </w:p>
    <w:p w14:paraId="31B9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奖励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资金主要用于高校、科研院所开展成果转化、技术经理人培训、技术转移服务活动所发生的相关支出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及科技成果转化贡献人的绩效工资等，其中不低于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50%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用于奖励科技成果转化贡献人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获得奖励的高校、科研院所应制定资金使用方案，报省科技厅备案。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其它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监督管理及绩效管理具体要求详见《黑龙江省科技成果转移转化服务体系奖励政策实施细则》第五条、第六条。</w:t>
      </w:r>
    </w:p>
    <w:p w14:paraId="36B2357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74A95"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 w14:paraId="7C66B0C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3505"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2D32AE5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612D1A6F"/>
    <w:rsid w:val="3DE605B6"/>
    <w:rsid w:val="612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</w:rPr>
  </w:style>
  <w:style w:type="paragraph" w:styleId="3">
    <w:name w:val="Balloon Text"/>
    <w:basedOn w:val="1"/>
    <w:qFormat/>
    <w:uiPriority w:val="0"/>
    <w:rPr>
      <w:rFonts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rFonts w:cs="Times New Roman"/>
      <w:color w:val="FF0000"/>
      <w:sz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4595</Words>
  <Characters>4660</Characters>
  <Lines>0</Lines>
  <Paragraphs>0</Paragraphs>
  <TotalTime>1</TotalTime>
  <ScaleCrop>false</ScaleCrop>
  <LinksUpToDate>false</LinksUpToDate>
  <CharactersWithSpaces>4722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2024-06-27T06:14:00Z</dcterms:created>
  <dc:creator>hallyyue</dc:creator>
  <cp:lastModifiedBy>GS</cp:lastModifiedBy>
  <dcterms:modified xsi:type="dcterms:W3CDTF">2024-07-05T02:47:35Z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11C8C6E24F1842CE86ED303DCF888015_11</vt:lpwstr>
  </property>
</Properties>
</file>