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CC843">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both"/>
        <w:textAlignment w:val="baseline"/>
        <w:outlineLvl w:val="0"/>
        <w:rPr>
          <w:rFonts w:hint="eastAsia" w:ascii="黑体" w:hAnsi="黑体" w:eastAsia="黑体" w:cs="黑体"/>
          <w:b w:val="0"/>
          <w:bCs w:val="0"/>
          <w:color w:val="auto"/>
          <w:spacing w:val="9"/>
          <w:sz w:val="32"/>
          <w:szCs w:val="32"/>
          <w:highlight w:val="none"/>
          <w:u w:val="none"/>
          <w:lang w:val="en-US" w:eastAsia="zh-CN"/>
        </w:rPr>
      </w:pPr>
      <w:bookmarkStart w:id="0" w:name="_GoBack"/>
      <w:bookmarkEnd w:id="0"/>
      <w:r>
        <w:rPr>
          <w:rFonts w:hint="eastAsia" w:ascii="黑体" w:hAnsi="黑体" w:eastAsia="黑体" w:cs="黑体"/>
          <w:b w:val="0"/>
          <w:bCs w:val="0"/>
          <w:color w:val="auto"/>
          <w:spacing w:val="9"/>
          <w:sz w:val="32"/>
          <w:szCs w:val="32"/>
          <w:highlight w:val="none"/>
          <w:u w:val="none"/>
          <w:lang w:val="en-US" w:eastAsia="zh-CN"/>
        </w:rPr>
        <w:t>附件</w:t>
      </w:r>
    </w:p>
    <w:p w14:paraId="51E8E15F">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both"/>
        <w:textAlignment w:val="baseline"/>
        <w:outlineLvl w:val="0"/>
        <w:rPr>
          <w:rFonts w:hint="default" w:ascii="方正小标宋简体" w:eastAsia="方正小标宋简体" w:cs="方正小标宋简体"/>
          <w:b w:val="0"/>
          <w:bCs w:val="0"/>
          <w:color w:val="auto"/>
          <w:spacing w:val="9"/>
          <w:sz w:val="44"/>
          <w:szCs w:val="44"/>
          <w:highlight w:val="none"/>
          <w:u w:val="none"/>
          <w:lang w:val="en-US" w:eastAsia="zh-CN"/>
        </w:rPr>
      </w:pPr>
    </w:p>
    <w:p w14:paraId="655FFDEA">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center"/>
        <w:textAlignment w:val="baseline"/>
        <w:outlineLvl w:val="0"/>
        <w:rPr>
          <w:rFonts w:hint="eastAsia" w:ascii="方正小标宋简体" w:eastAsia="方正小标宋简体" w:cs="方正小标宋简体"/>
          <w:b w:val="0"/>
          <w:bCs w:val="0"/>
          <w:color w:val="auto"/>
          <w:sz w:val="44"/>
          <w:szCs w:val="44"/>
          <w:highlight w:val="none"/>
          <w:u w:val="none"/>
          <w:lang w:eastAsia="zh-CN"/>
        </w:rPr>
      </w:pPr>
      <w:r>
        <w:rPr>
          <w:rFonts w:hint="eastAsia" w:ascii="方正小标宋简体" w:eastAsia="方正小标宋简体" w:cs="方正小标宋简体"/>
          <w:b w:val="0"/>
          <w:bCs w:val="0"/>
          <w:color w:val="auto"/>
          <w:spacing w:val="9"/>
          <w:sz w:val="44"/>
          <w:szCs w:val="44"/>
          <w:highlight w:val="none"/>
          <w:u w:val="none"/>
          <w:lang w:val="en-US" w:eastAsia="zh-CN"/>
        </w:rPr>
        <w:t>黑龙江省</w:t>
      </w:r>
      <w:r>
        <w:rPr>
          <w:rFonts w:hint="eastAsia" w:ascii="方正小标宋简体" w:eastAsia="方正小标宋简体" w:cs="方正小标宋简体"/>
          <w:b w:val="0"/>
          <w:bCs w:val="0"/>
          <w:color w:val="auto"/>
          <w:sz w:val="44"/>
          <w:szCs w:val="44"/>
          <w:highlight w:val="none"/>
          <w:u w:val="none"/>
          <w:lang w:eastAsia="zh-CN"/>
        </w:rPr>
        <w:t>科技成果转化尽职免责制度指引</w:t>
      </w:r>
    </w:p>
    <w:p w14:paraId="138D1D9F">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center"/>
        <w:textAlignment w:val="baseline"/>
        <w:outlineLvl w:val="0"/>
        <w:rPr>
          <w:rFonts w:hint="eastAsia" w:ascii="楷体_GB2312" w:hAnsi="楷体_GB2312" w:eastAsia="楷体_GB2312" w:cs="楷体_GB2312"/>
          <w:b w:val="0"/>
          <w:bCs w:val="0"/>
          <w:strike w:val="0"/>
          <w:dstrike w:val="0"/>
          <w:color w:val="auto"/>
          <w:sz w:val="32"/>
          <w:szCs w:val="32"/>
          <w:highlight w:val="none"/>
          <w:u w:val="none"/>
          <w:lang w:eastAsia="zh-CN"/>
        </w:rPr>
      </w:pPr>
      <w:r>
        <w:rPr>
          <w:rFonts w:hint="eastAsia" w:ascii="楷体_GB2312" w:hAnsi="楷体_GB2312" w:eastAsia="楷体_GB2312" w:cs="楷体_GB2312"/>
          <w:b w:val="0"/>
          <w:bCs w:val="0"/>
          <w:strike w:val="0"/>
          <w:dstrike w:val="0"/>
          <w:color w:val="auto"/>
          <w:sz w:val="32"/>
          <w:szCs w:val="32"/>
          <w:highlight w:val="none"/>
          <w:u w:val="none"/>
          <w:lang w:eastAsia="zh-CN"/>
        </w:rPr>
        <w:t>（</w:t>
      </w:r>
      <w:r>
        <w:rPr>
          <w:rFonts w:hint="eastAsia" w:ascii="楷体_GB2312" w:hAnsi="楷体_GB2312" w:eastAsia="楷体_GB2312" w:cs="楷体_GB2312"/>
          <w:b w:val="0"/>
          <w:bCs w:val="0"/>
          <w:strike w:val="0"/>
          <w:dstrike w:val="0"/>
          <w:color w:val="auto"/>
          <w:sz w:val="32"/>
          <w:szCs w:val="32"/>
          <w:highlight w:val="none"/>
          <w:u w:val="none"/>
          <w:lang w:val="en-US" w:eastAsia="zh-CN"/>
        </w:rPr>
        <w:t>试行</w:t>
      </w:r>
      <w:r>
        <w:rPr>
          <w:rFonts w:hint="eastAsia" w:ascii="楷体_GB2312" w:hAnsi="楷体_GB2312" w:eastAsia="楷体_GB2312" w:cs="楷体_GB2312"/>
          <w:b w:val="0"/>
          <w:bCs w:val="0"/>
          <w:strike w:val="0"/>
          <w:dstrike w:val="0"/>
          <w:color w:val="auto"/>
          <w:sz w:val="32"/>
          <w:szCs w:val="32"/>
          <w:highlight w:val="none"/>
          <w:u w:val="none"/>
          <w:lang w:eastAsia="zh-CN"/>
        </w:rPr>
        <w:t>）</w:t>
      </w:r>
    </w:p>
    <w:p w14:paraId="0FE6B7A6">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center"/>
        <w:textAlignment w:val="baseline"/>
        <w:rPr>
          <w:rFonts w:hint="eastAsia" w:ascii="黑体" w:hAnsi="黑体" w:eastAsia="黑体" w:cs="黑体"/>
          <w:b w:val="0"/>
          <w:bCs w:val="0"/>
          <w:color w:val="auto"/>
          <w:sz w:val="32"/>
          <w:szCs w:val="32"/>
          <w:highlight w:val="none"/>
          <w:u w:val="none"/>
          <w:lang w:val="en-US" w:eastAsia="zh-CN"/>
        </w:rPr>
      </w:pPr>
    </w:p>
    <w:p w14:paraId="326E5712">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center"/>
        <w:textAlignment w:val="baseline"/>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第一章 总则</w:t>
      </w:r>
    </w:p>
    <w:p w14:paraId="409D556E">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第一条</w:t>
      </w:r>
      <w:r>
        <w:rPr>
          <w:rFonts w:hint="eastAsia" w:ascii="楷体_GB2312" w:hAnsi="楷体_GB2312" w:eastAsia="楷体_GB2312" w:cs="楷体_GB2312"/>
          <w:b/>
          <w:bCs/>
          <w:color w:val="auto"/>
          <w:sz w:val="32"/>
          <w:szCs w:val="32"/>
          <w:highlight w:val="none"/>
          <w:u w:val="none"/>
          <w:lang w:val="en-US" w:eastAsia="zh-CN"/>
        </w:rPr>
        <w:t>〔依据〕</w:t>
      </w:r>
      <w:r>
        <w:rPr>
          <w:rFonts w:hint="eastAsia" w:ascii="仿宋_GB2312" w:eastAsia="仿宋_GB2312" w:cs="仿宋_GB2312"/>
          <w:color w:val="auto"/>
          <w:sz w:val="32"/>
          <w:szCs w:val="32"/>
          <w:highlight w:val="none"/>
          <w:u w:val="none"/>
        </w:rPr>
        <w:t>为深入贯彻落实习近平总书记在</w:t>
      </w:r>
      <w:r>
        <w:rPr>
          <w:rFonts w:hint="eastAsia" w:ascii="仿宋_GB2312" w:eastAsia="仿宋_GB2312" w:cs="仿宋_GB2312"/>
          <w:color w:val="auto"/>
          <w:sz w:val="32"/>
          <w:szCs w:val="32"/>
          <w:highlight w:val="none"/>
          <w:u w:val="none"/>
          <w:lang w:val="en-US" w:eastAsia="zh-CN"/>
        </w:rPr>
        <w:t>我</w:t>
      </w:r>
      <w:r>
        <w:rPr>
          <w:rFonts w:hint="eastAsia" w:ascii="仿宋_GB2312" w:eastAsia="仿宋_GB2312" w:cs="仿宋_GB2312"/>
          <w:color w:val="auto"/>
          <w:sz w:val="32"/>
          <w:szCs w:val="32"/>
          <w:highlight w:val="none"/>
          <w:u w:val="none"/>
        </w:rPr>
        <w:t>省调研考察时提出的“提高科技成果落地转化率</w:t>
      </w:r>
      <w:r>
        <w:rPr>
          <w:rFonts w:hint="eastAsia" w:ascii="仿宋_GB2312" w:eastAsia="仿宋_GB2312" w:cs="仿宋_GB2312"/>
          <w:color w:val="auto"/>
          <w:sz w:val="32"/>
          <w:szCs w:val="32"/>
          <w:highlight w:val="none"/>
          <w:u w:val="none"/>
          <w:lang w:eastAsia="zh-CN"/>
        </w:rPr>
        <w:t>，</w:t>
      </w:r>
      <w:r>
        <w:rPr>
          <w:rFonts w:hint="eastAsia" w:ascii="仿宋_GB2312" w:eastAsia="仿宋_GB2312" w:cs="仿宋_GB2312"/>
          <w:color w:val="auto"/>
          <w:sz w:val="32"/>
          <w:szCs w:val="32"/>
          <w:highlight w:val="none"/>
          <w:u w:val="none"/>
          <w:lang w:val="en-US" w:eastAsia="zh-CN"/>
        </w:rPr>
        <w:t>以科技创新引领产业创新</w:t>
      </w:r>
      <w:r>
        <w:rPr>
          <w:rFonts w:hint="eastAsia" w:ascii="仿宋_GB2312" w:eastAsia="仿宋_GB2312" w:cs="仿宋_GB2312"/>
          <w:color w:val="auto"/>
          <w:sz w:val="32"/>
          <w:szCs w:val="32"/>
          <w:highlight w:val="none"/>
          <w:u w:val="none"/>
        </w:rPr>
        <w:t>”重要讲话重要指示精神，</w:t>
      </w:r>
      <w:r>
        <w:rPr>
          <w:rFonts w:hint="eastAsia" w:ascii="仿宋_GB2312" w:eastAsia="仿宋_GB2312" w:cs="仿宋_GB2312"/>
          <w:b w:val="0"/>
          <w:bCs w:val="0"/>
          <w:color w:val="auto"/>
          <w:sz w:val="32"/>
          <w:szCs w:val="32"/>
          <w:highlight w:val="none"/>
          <w:u w:val="none"/>
          <w:lang w:eastAsia="zh-CN"/>
        </w:rPr>
        <w:t>根据《中华人民共和国促进科技成果转化法》《国务院关于印发实施〈中华人民共和国促进科技成果转化法〉若干规定的通知》《科技部</w:t>
      </w:r>
      <w:r>
        <w:rPr>
          <w:rFonts w:hint="eastAsia" w:ascii="仿宋_GB2312" w:eastAsia="仿宋_GB2312" w:cs="仿宋_GB2312"/>
          <w:b w:val="0"/>
          <w:bCs w:val="0"/>
          <w:color w:val="auto"/>
          <w:sz w:val="32"/>
          <w:szCs w:val="32"/>
          <w:highlight w:val="none"/>
          <w:u w:val="none"/>
          <w:lang w:val="en-US" w:eastAsia="zh-CN"/>
        </w:rPr>
        <w:t xml:space="preserve"> </w:t>
      </w:r>
      <w:r>
        <w:rPr>
          <w:rFonts w:hint="eastAsia" w:ascii="仿宋_GB2312" w:eastAsia="仿宋_GB2312" w:cs="仿宋_GB2312"/>
          <w:b w:val="0"/>
          <w:bCs w:val="0"/>
          <w:color w:val="auto"/>
          <w:sz w:val="32"/>
          <w:szCs w:val="32"/>
          <w:highlight w:val="none"/>
          <w:u w:val="none"/>
          <w:lang w:eastAsia="zh-CN"/>
        </w:rPr>
        <w:t>发展改革委</w:t>
      </w:r>
      <w:r>
        <w:rPr>
          <w:rFonts w:hint="eastAsia" w:ascii="仿宋_GB2312" w:eastAsia="仿宋_GB2312" w:cs="仿宋_GB2312"/>
          <w:b w:val="0"/>
          <w:bCs w:val="0"/>
          <w:color w:val="auto"/>
          <w:sz w:val="32"/>
          <w:szCs w:val="32"/>
          <w:highlight w:val="none"/>
          <w:u w:val="none"/>
          <w:lang w:val="en-US" w:eastAsia="zh-CN"/>
        </w:rPr>
        <w:t xml:space="preserve"> </w:t>
      </w:r>
      <w:r>
        <w:rPr>
          <w:rFonts w:hint="eastAsia" w:ascii="仿宋_GB2312" w:eastAsia="仿宋_GB2312" w:cs="仿宋_GB2312"/>
          <w:b w:val="0"/>
          <w:bCs w:val="0"/>
          <w:color w:val="auto"/>
          <w:sz w:val="32"/>
          <w:szCs w:val="32"/>
          <w:highlight w:val="none"/>
          <w:u w:val="none"/>
          <w:lang w:eastAsia="zh-CN"/>
        </w:rPr>
        <w:t>教育部</w:t>
      </w:r>
      <w:r>
        <w:rPr>
          <w:rFonts w:hint="eastAsia" w:ascii="仿宋_GB2312" w:eastAsia="仿宋_GB2312" w:cs="仿宋_GB2312"/>
          <w:b w:val="0"/>
          <w:bCs w:val="0"/>
          <w:color w:val="auto"/>
          <w:sz w:val="32"/>
          <w:szCs w:val="32"/>
          <w:highlight w:val="none"/>
          <w:u w:val="none"/>
          <w:lang w:val="en-US" w:eastAsia="zh-CN"/>
        </w:rPr>
        <w:t xml:space="preserve"> </w:t>
      </w:r>
      <w:r>
        <w:rPr>
          <w:rFonts w:hint="eastAsia" w:ascii="仿宋_GB2312" w:eastAsia="仿宋_GB2312" w:cs="仿宋_GB2312"/>
          <w:b w:val="0"/>
          <w:bCs w:val="0"/>
          <w:color w:val="auto"/>
          <w:sz w:val="32"/>
          <w:szCs w:val="32"/>
          <w:highlight w:val="none"/>
          <w:u w:val="none"/>
          <w:lang w:eastAsia="zh-CN"/>
        </w:rPr>
        <w:t>工业和信息化部</w:t>
      </w:r>
      <w:r>
        <w:rPr>
          <w:rFonts w:hint="eastAsia" w:ascii="仿宋_GB2312" w:eastAsia="仿宋_GB2312" w:cs="仿宋_GB2312"/>
          <w:b w:val="0"/>
          <w:bCs w:val="0"/>
          <w:color w:val="auto"/>
          <w:sz w:val="32"/>
          <w:szCs w:val="32"/>
          <w:highlight w:val="none"/>
          <w:u w:val="none"/>
          <w:lang w:val="en-US" w:eastAsia="zh-CN"/>
        </w:rPr>
        <w:t xml:space="preserve"> </w:t>
      </w:r>
      <w:r>
        <w:rPr>
          <w:rFonts w:hint="eastAsia" w:ascii="仿宋_GB2312" w:eastAsia="仿宋_GB2312" w:cs="仿宋_GB2312"/>
          <w:b w:val="0"/>
          <w:bCs w:val="0"/>
          <w:color w:val="auto"/>
          <w:sz w:val="32"/>
          <w:szCs w:val="32"/>
          <w:highlight w:val="none"/>
          <w:u w:val="none"/>
          <w:lang w:eastAsia="zh-CN"/>
        </w:rPr>
        <w:t>财政部</w:t>
      </w:r>
      <w:r>
        <w:rPr>
          <w:rFonts w:hint="eastAsia" w:ascii="仿宋_GB2312" w:eastAsia="仿宋_GB2312" w:cs="仿宋_GB2312"/>
          <w:b w:val="0"/>
          <w:bCs w:val="0"/>
          <w:color w:val="auto"/>
          <w:sz w:val="32"/>
          <w:szCs w:val="32"/>
          <w:highlight w:val="none"/>
          <w:u w:val="none"/>
          <w:lang w:val="en-US" w:eastAsia="zh-CN"/>
        </w:rPr>
        <w:t xml:space="preserve"> </w:t>
      </w:r>
      <w:r>
        <w:rPr>
          <w:rFonts w:hint="eastAsia" w:ascii="仿宋_GB2312" w:eastAsia="仿宋_GB2312" w:cs="仿宋_GB2312"/>
          <w:b w:val="0"/>
          <w:bCs w:val="0"/>
          <w:color w:val="auto"/>
          <w:sz w:val="32"/>
          <w:szCs w:val="32"/>
          <w:highlight w:val="none"/>
          <w:u w:val="none"/>
          <w:lang w:eastAsia="zh-CN"/>
        </w:rPr>
        <w:t>人力资源社会保障部</w:t>
      </w:r>
      <w:r>
        <w:rPr>
          <w:rFonts w:hint="eastAsia" w:ascii="仿宋_GB2312" w:eastAsia="仿宋_GB2312" w:cs="仿宋_GB2312"/>
          <w:b w:val="0"/>
          <w:bCs w:val="0"/>
          <w:color w:val="auto"/>
          <w:sz w:val="32"/>
          <w:szCs w:val="32"/>
          <w:highlight w:val="none"/>
          <w:u w:val="none"/>
          <w:lang w:val="en-US" w:eastAsia="zh-CN"/>
        </w:rPr>
        <w:t xml:space="preserve"> </w:t>
      </w:r>
      <w:r>
        <w:rPr>
          <w:rFonts w:hint="eastAsia" w:ascii="仿宋_GB2312" w:eastAsia="仿宋_GB2312" w:cs="仿宋_GB2312"/>
          <w:b w:val="0"/>
          <w:bCs w:val="0"/>
          <w:color w:val="auto"/>
          <w:sz w:val="32"/>
          <w:szCs w:val="32"/>
          <w:highlight w:val="none"/>
          <w:u w:val="none"/>
          <w:lang w:eastAsia="zh-CN"/>
        </w:rPr>
        <w:t>商务部</w:t>
      </w:r>
      <w:r>
        <w:rPr>
          <w:rFonts w:hint="eastAsia" w:ascii="仿宋_GB2312" w:eastAsia="仿宋_GB2312" w:cs="仿宋_GB2312"/>
          <w:b w:val="0"/>
          <w:bCs w:val="0"/>
          <w:color w:val="auto"/>
          <w:sz w:val="32"/>
          <w:szCs w:val="32"/>
          <w:highlight w:val="none"/>
          <w:u w:val="none"/>
          <w:lang w:val="en-US" w:eastAsia="zh-CN"/>
        </w:rPr>
        <w:t xml:space="preserve"> </w:t>
      </w:r>
      <w:r>
        <w:rPr>
          <w:rFonts w:hint="eastAsia" w:ascii="仿宋_GB2312" w:eastAsia="仿宋_GB2312" w:cs="仿宋_GB2312"/>
          <w:b w:val="0"/>
          <w:bCs w:val="0"/>
          <w:color w:val="auto"/>
          <w:sz w:val="32"/>
          <w:szCs w:val="32"/>
          <w:highlight w:val="none"/>
          <w:u w:val="none"/>
          <w:lang w:eastAsia="zh-CN"/>
        </w:rPr>
        <w:t>知识产权局</w:t>
      </w:r>
      <w:r>
        <w:rPr>
          <w:rFonts w:hint="eastAsia" w:ascii="仿宋_GB2312" w:eastAsia="仿宋_GB2312" w:cs="仿宋_GB2312"/>
          <w:b w:val="0"/>
          <w:bCs w:val="0"/>
          <w:color w:val="auto"/>
          <w:sz w:val="32"/>
          <w:szCs w:val="32"/>
          <w:highlight w:val="none"/>
          <w:u w:val="none"/>
          <w:lang w:val="en-US" w:eastAsia="zh-CN"/>
        </w:rPr>
        <w:t xml:space="preserve"> </w:t>
      </w:r>
      <w:r>
        <w:rPr>
          <w:rFonts w:hint="eastAsia" w:ascii="仿宋_GB2312" w:eastAsia="仿宋_GB2312" w:cs="仿宋_GB2312"/>
          <w:b w:val="0"/>
          <w:bCs w:val="0"/>
          <w:color w:val="auto"/>
          <w:sz w:val="32"/>
          <w:szCs w:val="32"/>
          <w:highlight w:val="none"/>
          <w:u w:val="none"/>
          <w:lang w:eastAsia="zh-CN"/>
        </w:rPr>
        <w:t>中科院</w:t>
      </w:r>
      <w:r>
        <w:rPr>
          <w:rFonts w:hint="eastAsia" w:ascii="仿宋_GB2312" w:eastAsia="仿宋_GB2312" w:cs="仿宋_GB2312"/>
          <w:b w:val="0"/>
          <w:bCs w:val="0"/>
          <w:color w:val="auto"/>
          <w:sz w:val="32"/>
          <w:szCs w:val="32"/>
          <w:highlight w:val="none"/>
          <w:u w:val="none"/>
          <w:lang w:val="en-US" w:eastAsia="zh-CN"/>
        </w:rPr>
        <w:t xml:space="preserve"> </w:t>
      </w:r>
      <w:r>
        <w:rPr>
          <w:rFonts w:hint="eastAsia" w:ascii="仿宋_GB2312" w:eastAsia="仿宋_GB2312" w:cs="仿宋_GB2312"/>
          <w:b w:val="0"/>
          <w:bCs w:val="0"/>
          <w:color w:val="auto"/>
          <w:sz w:val="32"/>
          <w:szCs w:val="32"/>
          <w:highlight w:val="none"/>
          <w:u w:val="none"/>
          <w:lang w:eastAsia="zh-CN"/>
        </w:rPr>
        <w:t>赋予科研人员科技成果所有权或长期使用权试点实施方案》《黑龙江省促进科技成果转化条例》文件</w:t>
      </w:r>
      <w:r>
        <w:rPr>
          <w:rFonts w:hint="eastAsia" w:ascii="仿宋_GB2312" w:eastAsia="仿宋_GB2312" w:cs="仿宋_GB2312"/>
          <w:b w:val="0"/>
          <w:bCs w:val="0"/>
          <w:color w:val="auto"/>
          <w:sz w:val="32"/>
          <w:szCs w:val="32"/>
          <w:highlight w:val="none"/>
          <w:u w:val="none"/>
          <w:lang w:val="en-US" w:eastAsia="zh-CN"/>
        </w:rPr>
        <w:t>规定</w:t>
      </w:r>
      <w:r>
        <w:rPr>
          <w:rFonts w:hint="eastAsia" w:ascii="仿宋_GB2312" w:eastAsia="仿宋_GB2312" w:cs="仿宋_GB2312"/>
          <w:b w:val="0"/>
          <w:bCs w:val="0"/>
          <w:color w:val="auto"/>
          <w:sz w:val="32"/>
          <w:szCs w:val="32"/>
          <w:highlight w:val="none"/>
          <w:u w:val="none"/>
          <w:lang w:eastAsia="zh-CN"/>
        </w:rPr>
        <w:t>，结合实际，制定本指引。</w:t>
      </w:r>
    </w:p>
    <w:p w14:paraId="1760E9D0">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第二条</w:t>
      </w:r>
      <w:r>
        <w:rPr>
          <w:rFonts w:hint="eastAsia" w:ascii="楷体_GB2312" w:hAnsi="楷体_GB2312" w:eastAsia="楷体_GB2312" w:cs="楷体_GB2312"/>
          <w:b/>
          <w:bCs/>
          <w:color w:val="auto"/>
          <w:sz w:val="32"/>
          <w:szCs w:val="32"/>
          <w:highlight w:val="none"/>
          <w:u w:val="none"/>
          <w:lang w:val="en-US" w:eastAsia="zh-CN"/>
        </w:rPr>
        <w:t>〔目的〕</w:t>
      </w:r>
      <w:r>
        <w:rPr>
          <w:rFonts w:hint="eastAsia" w:ascii="仿宋_GB2312" w:eastAsia="仿宋_GB2312" w:cs="仿宋_GB2312"/>
          <w:color w:val="auto"/>
          <w:sz w:val="32"/>
          <w:szCs w:val="32"/>
          <w:highlight w:val="none"/>
          <w:u w:val="none"/>
          <w:lang w:val="en-US" w:eastAsia="zh-CN"/>
        </w:rPr>
        <w:t>充分尊重科技成果转化规律，</w:t>
      </w:r>
      <w:r>
        <w:rPr>
          <w:rFonts w:hint="eastAsia" w:ascii="仿宋_GB2312" w:eastAsia="仿宋_GB2312" w:cs="仿宋_GB2312"/>
          <w:b w:val="0"/>
          <w:bCs w:val="0"/>
          <w:color w:val="auto"/>
          <w:sz w:val="32"/>
          <w:szCs w:val="32"/>
          <w:highlight w:val="none"/>
          <w:u w:val="none"/>
          <w:lang w:eastAsia="zh-CN"/>
        </w:rPr>
        <w:t>着力</w:t>
      </w:r>
      <w:r>
        <w:rPr>
          <w:rFonts w:hint="eastAsia" w:ascii="仿宋_GB2312" w:eastAsia="仿宋_GB2312" w:cs="仿宋_GB2312"/>
          <w:color w:val="auto"/>
          <w:sz w:val="32"/>
          <w:szCs w:val="32"/>
          <w:highlight w:val="none"/>
          <w:u w:val="none"/>
          <w:lang w:val="en-US" w:eastAsia="zh-CN"/>
        </w:rPr>
        <w:t>破除制约科技成果转化的障碍和藩篱，保护科研人员成果转化积极性和创造性，消除对科技成果转化风险的顾虑，</w:t>
      </w:r>
      <w:r>
        <w:rPr>
          <w:rFonts w:hint="eastAsia" w:ascii="仿宋_GB2312" w:eastAsia="仿宋_GB2312" w:cs="仿宋_GB2312"/>
          <w:b w:val="0"/>
          <w:bCs w:val="0"/>
          <w:color w:val="auto"/>
          <w:sz w:val="32"/>
          <w:szCs w:val="32"/>
          <w:highlight w:val="none"/>
          <w:u w:val="none"/>
          <w:lang w:val="en-US" w:eastAsia="zh-CN"/>
        </w:rPr>
        <w:t>激发广大科研人员干事创业、担当作为，</w:t>
      </w:r>
      <w:r>
        <w:rPr>
          <w:rFonts w:hint="eastAsia" w:ascii="仿宋_GB2312" w:eastAsia="仿宋_GB2312" w:cs="仿宋_GB2312"/>
          <w:color w:val="auto"/>
          <w:sz w:val="32"/>
          <w:szCs w:val="32"/>
          <w:highlight w:val="none"/>
          <w:u w:val="none"/>
          <w:lang w:val="en-US" w:eastAsia="zh-CN"/>
        </w:rPr>
        <w:t>让科技成果加速转变为现实生产力</w:t>
      </w:r>
      <w:r>
        <w:rPr>
          <w:rFonts w:hint="eastAsia" w:ascii="仿宋_GB2312" w:eastAsia="仿宋_GB2312" w:cs="仿宋_GB2312"/>
          <w:b w:val="0"/>
          <w:bCs w:val="0"/>
          <w:color w:val="auto"/>
          <w:sz w:val="32"/>
          <w:szCs w:val="32"/>
          <w:highlight w:val="none"/>
          <w:u w:val="none"/>
          <w:lang w:eastAsia="zh-CN"/>
        </w:rPr>
        <w:t>。</w:t>
      </w:r>
    </w:p>
    <w:p w14:paraId="7E2007C2">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第三条</w:t>
      </w:r>
      <w:r>
        <w:rPr>
          <w:rFonts w:hint="eastAsia" w:ascii="楷体_GB2312" w:hAnsi="楷体_GB2312" w:eastAsia="楷体_GB2312" w:cs="楷体_GB2312"/>
          <w:b/>
          <w:bCs/>
          <w:color w:val="auto"/>
          <w:sz w:val="32"/>
          <w:szCs w:val="32"/>
          <w:highlight w:val="none"/>
          <w:u w:val="none"/>
          <w:lang w:val="en-US" w:eastAsia="zh-CN"/>
        </w:rPr>
        <w:t>〔遵循原则〕</w:t>
      </w:r>
      <w:r>
        <w:rPr>
          <w:rFonts w:hint="eastAsia" w:ascii="仿宋_GB2312" w:eastAsia="仿宋_GB2312" w:cs="仿宋_GB2312"/>
          <w:b w:val="0"/>
          <w:bCs w:val="0"/>
          <w:color w:val="auto"/>
          <w:sz w:val="32"/>
          <w:szCs w:val="32"/>
          <w:highlight w:val="none"/>
          <w:u w:val="none"/>
          <w:lang w:val="en-US" w:eastAsia="zh-CN"/>
        </w:rPr>
        <w:t>坚持尊重规律、鼓励创新，坚持市场决定、政府引导。</w:t>
      </w:r>
      <w:r>
        <w:rPr>
          <w:rFonts w:hint="eastAsia" w:ascii="仿宋_GB2312" w:eastAsia="仿宋_GB2312" w:cs="仿宋_GB2312"/>
          <w:b w:val="0"/>
          <w:bCs w:val="0"/>
          <w:color w:val="auto"/>
          <w:sz w:val="32"/>
          <w:szCs w:val="32"/>
          <w:highlight w:val="none"/>
          <w:u w:val="none"/>
          <w:lang w:eastAsia="zh-CN"/>
        </w:rPr>
        <w:t>树立科技成果只有转化才能真正实现创新价值、不转化是最大损失的理念，落实“三个区分开来”的原则，把因缺乏经验先行先试出现的失误与明知故犯行为区分开来，把国家尚无明确规定时的探索性行为与国家明令禁止后的有规不依行为区分开来，把为推动改革的无意过失与谋取私利的故意行为区分开来。</w:t>
      </w:r>
    </w:p>
    <w:p w14:paraId="27326369">
      <w:pPr>
        <w:pStyle w:val="2"/>
        <w:keepNext w:val="0"/>
        <w:keepLines w:val="0"/>
        <w:pageBreakBefore w:val="0"/>
        <w:widowControl/>
        <w:kinsoku/>
        <w:wordWrap/>
        <w:overflowPunct/>
        <w:topLinePunct w:val="0"/>
        <w:autoSpaceDE w:val="0"/>
        <w:autoSpaceDN w:val="0"/>
        <w:bidi w:val="0"/>
        <w:adjustRightInd w:val="0"/>
        <w:snapToGrid w:val="0"/>
        <w:spacing w:after="0" w:line="560" w:lineRule="exact"/>
        <w:ind w:left="0" w:right="0" w:firstLine="641"/>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w:t>
      </w:r>
      <w:r>
        <w:rPr>
          <w:rFonts w:hint="eastAsia" w:ascii="仿宋_GB2312" w:eastAsia="仿宋_GB2312" w:cs="仿宋_GB2312"/>
          <w:b/>
          <w:bCs/>
          <w:color w:val="auto"/>
          <w:sz w:val="32"/>
          <w:szCs w:val="32"/>
          <w:highlight w:val="none"/>
          <w:u w:val="none"/>
          <w:lang w:val="en-US" w:eastAsia="zh-CN"/>
        </w:rPr>
        <w:t>四</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〔适用范围〕</w:t>
      </w:r>
      <w:r>
        <w:rPr>
          <w:rFonts w:hint="eastAsia" w:ascii="仿宋_GB2312" w:eastAsia="仿宋_GB2312" w:cs="仿宋_GB2312"/>
          <w:b w:val="0"/>
          <w:bCs w:val="0"/>
          <w:color w:val="auto"/>
          <w:sz w:val="32"/>
          <w:szCs w:val="32"/>
          <w:highlight w:val="none"/>
          <w:u w:val="none"/>
          <w:lang w:eastAsia="zh-CN"/>
        </w:rPr>
        <w:t>本指引适用于利用财政性资金设立的省属</w:t>
      </w:r>
      <w:r>
        <w:rPr>
          <w:rFonts w:hint="eastAsia" w:ascii="仿宋_GB2312" w:eastAsia="仿宋_GB2312" w:cs="仿宋_GB2312"/>
          <w:b w:val="0"/>
          <w:bCs w:val="0"/>
          <w:color w:val="auto"/>
          <w:sz w:val="32"/>
          <w:szCs w:val="32"/>
          <w:highlight w:val="none"/>
          <w:u w:val="none"/>
          <w:lang w:val="en-US" w:eastAsia="zh-CN"/>
        </w:rPr>
        <w:t>高校院所和医疗机构等单位</w:t>
      </w:r>
      <w:r>
        <w:rPr>
          <w:rFonts w:hint="eastAsia" w:ascii="仿宋_GB2312" w:eastAsia="仿宋_GB2312" w:cs="仿宋_GB2312"/>
          <w:b w:val="0"/>
          <w:bCs w:val="0"/>
          <w:color w:val="auto"/>
          <w:sz w:val="32"/>
          <w:szCs w:val="32"/>
          <w:highlight w:val="none"/>
          <w:u w:val="none"/>
          <w:lang w:eastAsia="zh-CN"/>
        </w:rPr>
        <w:t>。鼓励中央驻</w:t>
      </w:r>
      <w:r>
        <w:rPr>
          <w:rFonts w:hint="eastAsia" w:ascii="仿宋_GB2312" w:eastAsia="仿宋_GB2312" w:cs="仿宋_GB2312"/>
          <w:b w:val="0"/>
          <w:bCs w:val="0"/>
          <w:color w:val="auto"/>
          <w:sz w:val="32"/>
          <w:szCs w:val="32"/>
          <w:highlight w:val="none"/>
          <w:u w:val="none"/>
          <w:lang w:val="en-US" w:eastAsia="zh-CN"/>
        </w:rPr>
        <w:t>省高校院所</w:t>
      </w:r>
      <w:r>
        <w:rPr>
          <w:rFonts w:hint="eastAsia" w:ascii="仿宋_GB2312" w:eastAsia="仿宋_GB2312" w:cs="仿宋_GB2312"/>
          <w:b w:val="0"/>
          <w:bCs w:val="0"/>
          <w:color w:val="auto"/>
          <w:sz w:val="32"/>
          <w:szCs w:val="32"/>
          <w:highlight w:val="none"/>
          <w:u w:val="none"/>
          <w:lang w:eastAsia="zh-CN"/>
        </w:rPr>
        <w:t>参照本指引开展工作。</w:t>
      </w:r>
    </w:p>
    <w:p w14:paraId="3C9B25C2">
      <w:pPr>
        <w:pStyle w:val="2"/>
        <w:keepNext w:val="0"/>
        <w:keepLines w:val="0"/>
        <w:pageBreakBefore w:val="0"/>
        <w:widowControl/>
        <w:kinsoku/>
        <w:wordWrap/>
        <w:overflowPunct/>
        <w:topLinePunct w:val="0"/>
        <w:autoSpaceDE w:val="0"/>
        <w:autoSpaceDN w:val="0"/>
        <w:bidi w:val="0"/>
        <w:adjustRightInd w:val="0"/>
        <w:snapToGrid w:val="0"/>
        <w:spacing w:after="0" w:line="560" w:lineRule="exact"/>
        <w:ind w:left="0" w:right="0" w:firstLine="641"/>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w:t>
      </w:r>
      <w:r>
        <w:rPr>
          <w:rFonts w:hint="eastAsia" w:ascii="仿宋_GB2312" w:eastAsia="仿宋_GB2312" w:cs="仿宋_GB2312"/>
          <w:b/>
          <w:bCs/>
          <w:color w:val="auto"/>
          <w:sz w:val="32"/>
          <w:szCs w:val="32"/>
          <w:highlight w:val="none"/>
          <w:u w:val="none"/>
          <w:lang w:val="en-US" w:eastAsia="zh-CN"/>
        </w:rPr>
        <w:t>五</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〔适用对象〕</w:t>
      </w:r>
      <w:r>
        <w:rPr>
          <w:rFonts w:hint="eastAsia" w:ascii="仿宋_GB2312" w:eastAsia="仿宋_GB2312" w:cs="仿宋_GB2312"/>
          <w:b w:val="0"/>
          <w:bCs w:val="0"/>
          <w:color w:val="auto"/>
          <w:sz w:val="32"/>
          <w:szCs w:val="32"/>
          <w:highlight w:val="none"/>
          <w:u w:val="none"/>
          <w:lang w:eastAsia="zh-CN"/>
        </w:rPr>
        <w:t>本指引适用对象为高校院所</w:t>
      </w:r>
      <w:r>
        <w:rPr>
          <w:rFonts w:hint="eastAsia" w:ascii="仿宋_GB2312" w:eastAsia="仿宋_GB2312" w:cs="仿宋_GB2312"/>
          <w:b w:val="0"/>
          <w:bCs w:val="0"/>
          <w:color w:val="auto"/>
          <w:sz w:val="32"/>
          <w:szCs w:val="32"/>
          <w:highlight w:val="none"/>
          <w:u w:val="none"/>
          <w:lang w:val="en-US" w:eastAsia="zh-CN"/>
        </w:rPr>
        <w:t>和医疗机构</w:t>
      </w:r>
      <w:r>
        <w:rPr>
          <w:rFonts w:hint="eastAsia" w:ascii="仿宋_GB2312" w:eastAsia="仿宋_GB2312" w:cs="仿宋_GB2312"/>
          <w:b w:val="0"/>
          <w:bCs w:val="0"/>
          <w:color w:val="auto"/>
          <w:sz w:val="32"/>
          <w:szCs w:val="32"/>
          <w:highlight w:val="none"/>
          <w:u w:val="none"/>
          <w:lang w:eastAsia="zh-CN"/>
        </w:rPr>
        <w:t>及其参与职务科技成果转化管理、服务和实施等活动的人员（以下简称“参与转化人员”），包括但不限于领导人员、管理人员和科研人员。</w:t>
      </w:r>
    </w:p>
    <w:p w14:paraId="1F5C1121">
      <w:pPr>
        <w:pStyle w:val="2"/>
        <w:keepNext w:val="0"/>
        <w:keepLines w:val="0"/>
        <w:pageBreakBefore w:val="0"/>
        <w:widowControl/>
        <w:kinsoku/>
        <w:wordWrap/>
        <w:overflowPunct/>
        <w:topLinePunct w:val="0"/>
        <w:autoSpaceDE w:val="0"/>
        <w:autoSpaceDN w:val="0"/>
        <w:bidi w:val="0"/>
        <w:adjustRightInd w:val="0"/>
        <w:snapToGrid w:val="0"/>
        <w:spacing w:after="0" w:line="560" w:lineRule="exact"/>
        <w:ind w:left="0" w:right="0" w:firstLine="641"/>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w:t>
      </w:r>
      <w:r>
        <w:rPr>
          <w:rFonts w:hint="eastAsia" w:ascii="仿宋_GB2312" w:eastAsia="仿宋_GB2312" w:cs="仿宋_GB2312"/>
          <w:b/>
          <w:bCs/>
          <w:color w:val="auto"/>
          <w:sz w:val="32"/>
          <w:szCs w:val="32"/>
          <w:highlight w:val="none"/>
          <w:u w:val="none"/>
          <w:lang w:val="en-US" w:eastAsia="zh-CN"/>
        </w:rPr>
        <w:t>六</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eastAsia="zh-CN"/>
        </w:rPr>
        <w:t>名词释义</w:t>
      </w:r>
      <w:r>
        <w:rPr>
          <w:rFonts w:hint="eastAsia" w:ascii="楷体_GB2312" w:hAnsi="楷体_GB2312" w:eastAsia="楷体_GB2312" w:cs="楷体_GB2312"/>
          <w:b/>
          <w:bCs/>
          <w:color w:val="auto"/>
          <w:sz w:val="32"/>
          <w:szCs w:val="32"/>
          <w:highlight w:val="none"/>
          <w:u w:val="none"/>
          <w:lang w:val="en-US" w:eastAsia="zh-CN"/>
        </w:rPr>
        <w:t>〕</w:t>
      </w:r>
      <w:r>
        <w:rPr>
          <w:rFonts w:hint="eastAsia" w:ascii="仿宋_GB2312" w:eastAsia="仿宋_GB2312" w:cs="仿宋_GB2312"/>
          <w:b w:val="0"/>
          <w:bCs w:val="0"/>
          <w:color w:val="auto"/>
          <w:sz w:val="32"/>
          <w:szCs w:val="32"/>
          <w:highlight w:val="none"/>
          <w:u w:val="none"/>
          <w:lang w:eastAsia="zh-CN"/>
        </w:rPr>
        <w:t>本指引所称尽职免责是指在开展职务科技成果转化活动过程中，因先行先试、缺乏经验、不可抗力或不可预见因素造成单位利益损失的，对有充分证据表明参与转化人员勤勉尽职的，依规依纪依法予以免责，包括内部考核扣分、激励性奖励扣减、行政处分、党纪处分等相关责任。</w:t>
      </w:r>
    </w:p>
    <w:p w14:paraId="0CE5D96B">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center"/>
        <w:textAlignment w:val="baseline"/>
        <w:rPr>
          <w:rFonts w:hint="eastAsia" w:ascii="黑体" w:hAnsi="黑体" w:eastAsia="黑体" w:cs="黑体"/>
          <w:b w:val="0"/>
          <w:bCs w:val="0"/>
          <w:color w:val="auto"/>
          <w:sz w:val="32"/>
          <w:szCs w:val="32"/>
          <w:highlight w:val="none"/>
          <w:u w:val="none"/>
          <w:lang w:val="en-US" w:eastAsia="zh-CN"/>
        </w:rPr>
      </w:pPr>
    </w:p>
    <w:p w14:paraId="777842CE">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center"/>
        <w:textAlignment w:val="baseline"/>
        <w:rPr>
          <w:rFonts w:hint="default" w:ascii="仿宋_GB2312" w:eastAsia="仿宋_GB2312" w:cs="仿宋_GB2312"/>
          <w:b/>
          <w:bCs/>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第二章 尽职免责机制</w:t>
      </w:r>
    </w:p>
    <w:p w14:paraId="5E177DED">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w:t>
      </w:r>
      <w:r>
        <w:rPr>
          <w:rFonts w:hint="eastAsia" w:ascii="仿宋_GB2312" w:eastAsia="仿宋_GB2312" w:cs="仿宋_GB2312"/>
          <w:b/>
          <w:bCs/>
          <w:color w:val="auto"/>
          <w:sz w:val="32"/>
          <w:szCs w:val="32"/>
          <w:highlight w:val="none"/>
          <w:u w:val="none"/>
          <w:lang w:val="en-US" w:eastAsia="zh-CN"/>
        </w:rPr>
        <w:t>七</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eastAsia="zh-CN"/>
        </w:rPr>
        <w:t>合规转化</w:t>
      </w:r>
      <w:r>
        <w:rPr>
          <w:rFonts w:hint="eastAsia" w:ascii="楷体_GB2312" w:hAnsi="楷体_GB2312" w:eastAsia="楷体_GB2312" w:cs="楷体_GB2312"/>
          <w:b/>
          <w:bCs/>
          <w:color w:val="auto"/>
          <w:sz w:val="32"/>
          <w:szCs w:val="32"/>
          <w:highlight w:val="none"/>
          <w:u w:val="none"/>
          <w:lang w:val="en-US" w:eastAsia="zh-CN"/>
        </w:rPr>
        <w:t>〕</w:t>
      </w:r>
      <w:r>
        <w:rPr>
          <w:rFonts w:hint="eastAsia" w:ascii="仿宋_GB2312" w:eastAsia="仿宋_GB2312" w:cs="仿宋_GB2312"/>
          <w:b w:val="0"/>
          <w:bCs w:val="0"/>
          <w:color w:val="auto"/>
          <w:sz w:val="32"/>
          <w:szCs w:val="32"/>
          <w:highlight w:val="none"/>
          <w:u w:val="none"/>
          <w:lang w:eastAsia="zh-CN"/>
        </w:rPr>
        <w:t>开展职务科技成果转化活动应当符合有关法律、法规、规章要求。</w:t>
      </w:r>
    </w:p>
    <w:p w14:paraId="4D220351">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w:t>
      </w:r>
      <w:r>
        <w:rPr>
          <w:rFonts w:hint="eastAsia" w:ascii="仿宋_GB2312" w:eastAsia="仿宋_GB2312" w:cs="仿宋_GB2312"/>
          <w:b/>
          <w:bCs/>
          <w:color w:val="auto"/>
          <w:sz w:val="32"/>
          <w:szCs w:val="32"/>
          <w:highlight w:val="none"/>
          <w:u w:val="none"/>
          <w:lang w:val="en-US" w:eastAsia="zh-CN"/>
        </w:rPr>
        <w:t>八</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eastAsia="zh-CN"/>
        </w:rPr>
        <w:t>制度健全</w:t>
      </w:r>
      <w:r>
        <w:rPr>
          <w:rFonts w:hint="eastAsia" w:ascii="楷体_GB2312" w:hAnsi="楷体_GB2312" w:eastAsia="楷体_GB2312" w:cs="楷体_GB2312"/>
          <w:b/>
          <w:bCs/>
          <w:color w:val="auto"/>
          <w:sz w:val="32"/>
          <w:szCs w:val="32"/>
          <w:highlight w:val="none"/>
          <w:u w:val="none"/>
          <w:lang w:val="en-US" w:eastAsia="zh-CN"/>
        </w:rPr>
        <w:t>〕</w:t>
      </w:r>
      <w:r>
        <w:rPr>
          <w:rFonts w:hint="eastAsia" w:ascii="仿宋_GB2312" w:eastAsia="仿宋_GB2312" w:cs="仿宋_GB2312"/>
          <w:b w:val="0"/>
          <w:bCs w:val="0"/>
          <w:color w:val="auto"/>
          <w:sz w:val="32"/>
          <w:szCs w:val="32"/>
          <w:highlight w:val="none"/>
          <w:u w:val="none"/>
          <w:lang w:eastAsia="zh-CN"/>
        </w:rPr>
        <w:t>夯实科技成果转化主体责任，高校院所</w:t>
      </w:r>
      <w:r>
        <w:rPr>
          <w:rFonts w:hint="eastAsia" w:ascii="仿宋_GB2312" w:eastAsia="仿宋_GB2312" w:cs="仿宋_GB2312"/>
          <w:b w:val="0"/>
          <w:bCs w:val="0"/>
          <w:color w:val="auto"/>
          <w:sz w:val="32"/>
          <w:szCs w:val="32"/>
          <w:highlight w:val="none"/>
          <w:u w:val="none"/>
          <w:lang w:val="en-US" w:eastAsia="zh-CN"/>
        </w:rPr>
        <w:t>和医疗机构</w:t>
      </w:r>
      <w:r>
        <w:rPr>
          <w:rFonts w:hint="eastAsia" w:ascii="仿宋_GB2312" w:eastAsia="仿宋_GB2312" w:cs="仿宋_GB2312"/>
          <w:b w:val="0"/>
          <w:bCs w:val="0"/>
          <w:color w:val="auto"/>
          <w:sz w:val="32"/>
          <w:szCs w:val="32"/>
          <w:highlight w:val="none"/>
          <w:u w:val="none"/>
          <w:lang w:eastAsia="zh-CN"/>
        </w:rPr>
        <w:t>应当完善职务科技成果转化内部管理制度，制定决策程序和内控机制，做好高校院所</w:t>
      </w:r>
      <w:r>
        <w:rPr>
          <w:rFonts w:hint="eastAsia" w:ascii="仿宋_GB2312" w:eastAsia="仿宋_GB2312" w:cs="仿宋_GB2312"/>
          <w:b w:val="0"/>
          <w:bCs w:val="0"/>
          <w:color w:val="auto"/>
          <w:sz w:val="32"/>
          <w:szCs w:val="32"/>
          <w:highlight w:val="none"/>
          <w:u w:val="none"/>
          <w:lang w:val="en-US" w:eastAsia="zh-CN"/>
        </w:rPr>
        <w:t>和医疗机构</w:t>
      </w:r>
      <w:r>
        <w:rPr>
          <w:rFonts w:hint="eastAsia" w:ascii="仿宋_GB2312" w:eastAsia="仿宋_GB2312" w:cs="仿宋_GB2312"/>
          <w:b w:val="0"/>
          <w:bCs w:val="0"/>
          <w:color w:val="auto"/>
          <w:sz w:val="32"/>
          <w:szCs w:val="32"/>
          <w:highlight w:val="none"/>
          <w:u w:val="none"/>
          <w:lang w:eastAsia="zh-CN"/>
        </w:rPr>
        <w:t>内部科研、财务、国资、人事、纪检、审计等部门组织协调工作，建立健全审批、单列管理、运营、权益分配等方面的工作规范及信息披露、风险控制、重大事项报告等内部控制制度，做到履职尽责有章可依。</w:t>
      </w:r>
    </w:p>
    <w:p w14:paraId="0A332528">
      <w:pPr>
        <w:pStyle w:val="2"/>
        <w:keepNext w:val="0"/>
        <w:keepLines w:val="0"/>
        <w:pageBreakBefore w:val="0"/>
        <w:widowControl/>
        <w:kinsoku/>
        <w:wordWrap/>
        <w:overflowPunct/>
        <w:topLinePunct w:val="0"/>
        <w:autoSpaceDE w:val="0"/>
        <w:autoSpaceDN w:val="0"/>
        <w:bidi w:val="0"/>
        <w:adjustRightInd w:val="0"/>
        <w:snapToGrid w:val="0"/>
        <w:spacing w:after="0" w:line="560" w:lineRule="exact"/>
        <w:ind w:left="0" w:right="0" w:firstLine="641"/>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w:t>
      </w:r>
      <w:r>
        <w:rPr>
          <w:rFonts w:hint="eastAsia" w:ascii="仿宋_GB2312" w:eastAsia="仿宋_GB2312" w:cs="仿宋_GB2312"/>
          <w:b/>
          <w:bCs/>
          <w:color w:val="auto"/>
          <w:sz w:val="32"/>
          <w:szCs w:val="32"/>
          <w:highlight w:val="none"/>
          <w:u w:val="none"/>
          <w:lang w:val="en-US" w:eastAsia="zh-CN"/>
        </w:rPr>
        <w:t>九</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〔免责范围〕</w:t>
      </w:r>
      <w:r>
        <w:rPr>
          <w:rFonts w:hint="eastAsia" w:ascii="仿宋_GB2312" w:eastAsia="仿宋_GB2312" w:cs="仿宋_GB2312"/>
          <w:b w:val="0"/>
          <w:bCs w:val="0"/>
          <w:color w:val="auto"/>
          <w:sz w:val="32"/>
          <w:szCs w:val="32"/>
          <w:highlight w:val="none"/>
          <w:u w:val="none"/>
          <w:lang w:eastAsia="zh-CN"/>
        </w:rPr>
        <w:t>参与转化人员根据法律法规和本单位依法制定的规章制度，开展科技成果转化工作，履行了民主决策程序、合理注意义务和监督管理职责的，即视为已履行勤勉尽责义务。符合以下情形之一的，不予追究相关人员决策失误责任。</w:t>
      </w:r>
    </w:p>
    <w:p w14:paraId="28E63AC1">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1.</w:t>
      </w:r>
      <w:r>
        <w:rPr>
          <w:rFonts w:hint="eastAsia" w:ascii="仿宋_GB2312" w:eastAsia="仿宋_GB2312" w:cs="仿宋_GB2312"/>
          <w:b w:val="0"/>
          <w:bCs w:val="0"/>
          <w:color w:val="auto"/>
          <w:sz w:val="32"/>
          <w:szCs w:val="32"/>
          <w:highlight w:val="none"/>
          <w:u w:val="none"/>
          <w:lang w:eastAsia="zh-CN"/>
        </w:rPr>
        <w:t>参与转化人员在完成科技成果之后，及时向本单位披露科技成果情况，经审核后，认为不应以本单位名义申请、登记知识产权，据此放弃申请、登记知识产权导致单位利益受损的。</w:t>
      </w:r>
    </w:p>
    <w:p w14:paraId="4202BB53">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2.</w:t>
      </w:r>
      <w:r>
        <w:rPr>
          <w:rFonts w:hint="eastAsia" w:ascii="仿宋_GB2312" w:eastAsia="仿宋_GB2312" w:cs="仿宋_GB2312"/>
          <w:b w:val="0"/>
          <w:bCs w:val="0"/>
          <w:color w:val="auto"/>
          <w:sz w:val="32"/>
          <w:szCs w:val="32"/>
          <w:highlight w:val="none"/>
          <w:u w:val="none"/>
          <w:lang w:eastAsia="zh-CN"/>
        </w:rPr>
        <w:t>参与转化人员已经按照相关规定履行了通知、告知、公示等程序，仍因对已经授权的科技成果进行放弃，导致单位利益受损的。</w:t>
      </w:r>
    </w:p>
    <w:p w14:paraId="11FFD306">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3.</w:t>
      </w:r>
      <w:r>
        <w:rPr>
          <w:rFonts w:hint="eastAsia" w:ascii="仿宋_GB2312" w:eastAsia="仿宋_GB2312" w:cs="仿宋_GB2312"/>
          <w:b w:val="0"/>
          <w:bCs w:val="0"/>
          <w:color w:val="auto"/>
          <w:sz w:val="32"/>
          <w:szCs w:val="32"/>
          <w:highlight w:val="none"/>
          <w:u w:val="none"/>
          <w:lang w:eastAsia="zh-CN"/>
        </w:rPr>
        <w:t>参与转化人员在科技成果转化过程中，已履行关联交易相关规定程序，</w:t>
      </w:r>
      <w:r>
        <w:rPr>
          <w:rFonts w:hint="eastAsia" w:ascii="仿宋_GB2312" w:eastAsia="仿宋_GB2312" w:cs="仿宋_GB2312"/>
          <w:b w:val="0"/>
          <w:bCs w:val="0"/>
          <w:strike w:val="0"/>
          <w:dstrike w:val="0"/>
          <w:color w:val="auto"/>
          <w:sz w:val="32"/>
          <w:szCs w:val="32"/>
          <w:highlight w:val="none"/>
          <w:u w:val="none"/>
          <w:lang w:eastAsia="zh-CN"/>
        </w:rPr>
        <w:t>仍</w:t>
      </w:r>
      <w:r>
        <w:rPr>
          <w:rFonts w:hint="eastAsia" w:ascii="仿宋_GB2312" w:eastAsia="仿宋_GB2312" w:cs="仿宋_GB2312"/>
          <w:b w:val="0"/>
          <w:bCs w:val="0"/>
          <w:color w:val="auto"/>
          <w:sz w:val="32"/>
          <w:szCs w:val="32"/>
          <w:highlight w:val="none"/>
          <w:u w:val="none"/>
          <w:lang w:eastAsia="zh-CN"/>
        </w:rPr>
        <w:t>因科研人员</w:t>
      </w:r>
      <w:r>
        <w:rPr>
          <w:rFonts w:hint="eastAsia" w:ascii="仿宋_GB2312" w:eastAsia="仿宋_GB2312" w:cs="仿宋_GB2312"/>
          <w:b w:val="0"/>
          <w:bCs w:val="0"/>
          <w:color w:val="auto"/>
          <w:sz w:val="32"/>
          <w:szCs w:val="32"/>
          <w:highlight w:val="none"/>
          <w:u w:val="none"/>
          <w:lang w:val="en-US" w:eastAsia="zh-CN"/>
        </w:rPr>
        <w:t>隐瞒关联交易信息，</w:t>
      </w:r>
      <w:r>
        <w:rPr>
          <w:rFonts w:hint="eastAsia" w:ascii="仿宋_GB2312" w:eastAsia="仿宋_GB2312" w:cs="仿宋_GB2312"/>
          <w:b w:val="0"/>
          <w:bCs w:val="0"/>
          <w:color w:val="auto"/>
          <w:sz w:val="32"/>
          <w:szCs w:val="32"/>
          <w:highlight w:val="none"/>
          <w:u w:val="none"/>
          <w:lang w:eastAsia="zh-CN"/>
        </w:rPr>
        <w:t>导致单位利益受损的。</w:t>
      </w:r>
    </w:p>
    <w:p w14:paraId="3582BB04">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4.</w:t>
      </w:r>
      <w:r>
        <w:rPr>
          <w:rFonts w:hint="eastAsia" w:ascii="仿宋_GB2312" w:eastAsia="仿宋_GB2312" w:cs="仿宋_GB2312"/>
          <w:b w:val="0"/>
          <w:bCs w:val="0"/>
          <w:color w:val="auto"/>
          <w:sz w:val="32"/>
          <w:szCs w:val="32"/>
          <w:highlight w:val="none"/>
          <w:u w:val="none"/>
          <w:lang w:eastAsia="zh-CN"/>
        </w:rPr>
        <w:t>参与转化人员通过技术交易市场挂牌交易、拍卖等方式确定价格，或者通过协议定价并在本单位及技术交易市场公示拟交易价格，但科技成果后续产生较大的价值变化，导致单位利益受损的。</w:t>
      </w:r>
    </w:p>
    <w:p w14:paraId="7DFB2776">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5.</w:t>
      </w:r>
      <w:r>
        <w:rPr>
          <w:rFonts w:hint="eastAsia" w:ascii="仿宋_GB2312" w:eastAsia="仿宋_GB2312" w:cs="仿宋_GB2312"/>
          <w:b w:val="0"/>
          <w:bCs w:val="0"/>
          <w:color w:val="auto"/>
          <w:sz w:val="32"/>
          <w:szCs w:val="32"/>
          <w:highlight w:val="none"/>
          <w:u w:val="none"/>
          <w:lang w:eastAsia="zh-CN"/>
        </w:rPr>
        <w:t>参与转化人员在赋予科研人员职务科技成果所有权中，对于协议约定取得成果转化收益情形的，按照规定程序将赋权成果转让给全资国有企业及科研人员，因创业企业经营不善或创业失败，导致单位国有资产减损或无法收回收益的。</w:t>
      </w:r>
    </w:p>
    <w:p w14:paraId="0D3AA8B8">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6.</w:t>
      </w:r>
      <w:r>
        <w:rPr>
          <w:rFonts w:hint="eastAsia" w:ascii="仿宋_GB2312" w:eastAsia="仿宋_GB2312" w:cs="仿宋_GB2312"/>
          <w:b w:val="0"/>
          <w:bCs w:val="0"/>
          <w:color w:val="auto"/>
          <w:sz w:val="32"/>
          <w:szCs w:val="32"/>
          <w:highlight w:val="none"/>
          <w:u w:val="none"/>
          <w:lang w:eastAsia="zh-CN"/>
        </w:rPr>
        <w:t>在赋予科研人员职务科技成果长期使用权或所有权过程中，按照规定程序将赋权成果许可或转让给科研人员，因科研人员创业失败，导致单位无法收回收益的。</w:t>
      </w:r>
    </w:p>
    <w:p w14:paraId="42B3E937">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7.</w:t>
      </w:r>
      <w:r>
        <w:rPr>
          <w:rFonts w:hint="eastAsia" w:ascii="仿宋_GB2312" w:eastAsia="仿宋_GB2312" w:cs="仿宋_GB2312"/>
          <w:b w:val="0"/>
          <w:bCs w:val="0"/>
          <w:color w:val="auto"/>
          <w:sz w:val="32"/>
          <w:szCs w:val="32"/>
          <w:highlight w:val="none"/>
          <w:u w:val="none"/>
          <w:lang w:eastAsia="zh-CN"/>
        </w:rPr>
        <w:t>参与转化人员在科技成果转化过程中，虽已履行公示等相关规定程序，仍因科技成果转化活动引起科技成果权属争议、奖酬分配争议，给单位造成纠纷或不良影响的。</w:t>
      </w:r>
    </w:p>
    <w:p w14:paraId="370911AB">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8.</w:t>
      </w:r>
      <w:r>
        <w:rPr>
          <w:rFonts w:hint="eastAsia" w:ascii="仿宋_GB2312" w:eastAsia="仿宋_GB2312" w:cs="仿宋_GB2312"/>
          <w:b w:val="0"/>
          <w:bCs w:val="0"/>
          <w:color w:val="auto"/>
          <w:sz w:val="32"/>
          <w:szCs w:val="32"/>
          <w:highlight w:val="none"/>
          <w:u w:val="none"/>
          <w:lang w:eastAsia="zh-CN"/>
        </w:rPr>
        <w:t>按照国家和</w:t>
      </w:r>
      <w:r>
        <w:rPr>
          <w:rFonts w:hint="eastAsia" w:ascii="仿宋_GB2312" w:eastAsia="仿宋_GB2312" w:cs="仿宋_GB2312"/>
          <w:b w:val="0"/>
          <w:bCs w:val="0"/>
          <w:color w:val="auto"/>
          <w:sz w:val="32"/>
          <w:szCs w:val="32"/>
          <w:highlight w:val="none"/>
          <w:u w:val="none"/>
          <w:lang w:val="en-US" w:eastAsia="zh-CN"/>
        </w:rPr>
        <w:t>我省</w:t>
      </w:r>
      <w:r>
        <w:rPr>
          <w:rFonts w:hint="eastAsia" w:ascii="仿宋_GB2312" w:eastAsia="仿宋_GB2312" w:cs="仿宋_GB2312"/>
          <w:b w:val="0"/>
          <w:bCs w:val="0"/>
          <w:color w:val="auto"/>
          <w:sz w:val="32"/>
          <w:szCs w:val="32"/>
          <w:highlight w:val="none"/>
          <w:u w:val="none"/>
          <w:lang w:eastAsia="zh-CN"/>
        </w:rPr>
        <w:t>科技成果转化改革要求，参与转化人员探索科技成果转化的具体路径和模式，先行先试开展科技成果转化活动，仍给单位造成损失的。</w:t>
      </w:r>
    </w:p>
    <w:p w14:paraId="37D7314A">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9.</w:t>
      </w:r>
      <w:r>
        <w:rPr>
          <w:rFonts w:hint="eastAsia" w:ascii="仿宋_GB2312" w:eastAsia="仿宋_GB2312" w:cs="仿宋_GB2312"/>
          <w:b w:val="0"/>
          <w:bCs w:val="0"/>
          <w:color w:val="auto"/>
          <w:sz w:val="32"/>
          <w:szCs w:val="32"/>
          <w:highlight w:val="none"/>
          <w:u w:val="none"/>
          <w:lang w:eastAsia="zh-CN"/>
        </w:rPr>
        <w:t>在推动科技成果转化过程中，参与转化人员依法按照规章制度、内控机制、规范流程开展其他有利于单位开展科技成果转化活动，仍给单位造成其他损失或不良影响的。</w:t>
      </w:r>
    </w:p>
    <w:p w14:paraId="4AD99FB4">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default" w:ascii="仿宋_GB2312" w:eastAsia="仿宋_GB2312" w:cs="仿宋_GB2312"/>
          <w:b w:val="0"/>
          <w:bCs w:val="0"/>
          <w:color w:val="auto"/>
          <w:sz w:val="32"/>
          <w:szCs w:val="32"/>
          <w:highlight w:val="none"/>
          <w:u w:val="none"/>
          <w:lang w:val="en-US" w:eastAsia="zh-CN"/>
        </w:rPr>
      </w:pPr>
      <w:r>
        <w:rPr>
          <w:rFonts w:hint="eastAsia" w:ascii="仿宋_GB2312" w:eastAsia="仿宋_GB2312" w:cs="仿宋_GB2312"/>
          <w:b w:val="0"/>
          <w:bCs w:val="0"/>
          <w:color w:val="auto"/>
          <w:sz w:val="32"/>
          <w:szCs w:val="32"/>
          <w:highlight w:val="none"/>
          <w:u w:val="none"/>
          <w:lang w:val="en-US" w:eastAsia="zh-CN"/>
        </w:rPr>
        <w:t>10.因国际政治环境变化、技术出口管制升级等不可抗力因素，导致跨境项目及合作项目受阻造成损失的。</w:t>
      </w:r>
    </w:p>
    <w:p w14:paraId="37614FCF">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w:t>
      </w:r>
      <w:r>
        <w:rPr>
          <w:rFonts w:hint="eastAsia" w:ascii="仿宋_GB2312" w:eastAsia="仿宋_GB2312" w:cs="仿宋_GB2312"/>
          <w:b/>
          <w:bCs/>
          <w:color w:val="auto"/>
          <w:sz w:val="32"/>
          <w:szCs w:val="32"/>
          <w:highlight w:val="none"/>
          <w:u w:val="none"/>
          <w:lang w:val="en-US" w:eastAsia="zh-CN"/>
        </w:rPr>
        <w:t>十</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〔负面清单〕</w:t>
      </w:r>
      <w:r>
        <w:rPr>
          <w:rFonts w:hint="eastAsia" w:ascii="仿宋_GB2312" w:eastAsia="仿宋_GB2312" w:cs="仿宋_GB2312"/>
          <w:b w:val="0"/>
          <w:bCs w:val="0"/>
          <w:color w:val="auto"/>
          <w:sz w:val="32"/>
          <w:szCs w:val="32"/>
          <w:highlight w:val="none"/>
          <w:u w:val="none"/>
          <w:lang w:eastAsia="zh-CN"/>
        </w:rPr>
        <w:t>职务科技成果有以下相关情形之一的，不可</w:t>
      </w:r>
      <w:r>
        <w:rPr>
          <w:rFonts w:hint="eastAsia" w:ascii="仿宋_GB2312" w:eastAsia="仿宋_GB2312" w:cs="仿宋_GB2312"/>
          <w:b w:val="0"/>
          <w:bCs w:val="0"/>
          <w:color w:val="auto"/>
          <w:sz w:val="32"/>
          <w:szCs w:val="32"/>
          <w:highlight w:val="none"/>
          <w:u w:val="none"/>
          <w:lang w:val="en-US" w:eastAsia="zh-CN"/>
        </w:rPr>
        <w:t>赋权。</w:t>
      </w:r>
    </w:p>
    <w:p w14:paraId="17F9C248">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1.</w:t>
      </w:r>
      <w:r>
        <w:rPr>
          <w:rFonts w:hint="eastAsia" w:ascii="仿宋_GB2312" w:eastAsia="仿宋_GB2312" w:cs="仿宋_GB2312"/>
          <w:b w:val="0"/>
          <w:bCs w:val="0"/>
          <w:color w:val="auto"/>
          <w:sz w:val="32"/>
          <w:szCs w:val="32"/>
          <w:highlight w:val="none"/>
          <w:u w:val="none"/>
          <w:lang w:eastAsia="zh-CN"/>
        </w:rPr>
        <w:t>职务科技成果可能影响国家安全、国防安全、公共安全、经济安全、社会稳定等事关国家利益和重大社会公共利益。</w:t>
      </w:r>
    </w:p>
    <w:p w14:paraId="7B44B1C4">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2.</w:t>
      </w:r>
      <w:r>
        <w:rPr>
          <w:rFonts w:hint="eastAsia" w:ascii="仿宋_GB2312" w:eastAsia="仿宋_GB2312" w:cs="仿宋_GB2312"/>
          <w:b w:val="0"/>
          <w:bCs w:val="0"/>
          <w:color w:val="auto"/>
          <w:sz w:val="32"/>
          <w:szCs w:val="32"/>
          <w:highlight w:val="none"/>
          <w:u w:val="none"/>
          <w:lang w:eastAsia="zh-CN"/>
        </w:rPr>
        <w:t>职务科技成果涉及国家秘密，在解密或降密之前。</w:t>
      </w:r>
    </w:p>
    <w:p w14:paraId="47B278DC">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3.</w:t>
      </w:r>
      <w:r>
        <w:rPr>
          <w:rFonts w:hint="eastAsia" w:ascii="仿宋_GB2312" w:eastAsia="仿宋_GB2312" w:cs="仿宋_GB2312"/>
          <w:b w:val="0"/>
          <w:bCs w:val="0"/>
          <w:color w:val="auto"/>
          <w:sz w:val="32"/>
          <w:szCs w:val="32"/>
          <w:highlight w:val="none"/>
          <w:u w:val="none"/>
          <w:lang w:eastAsia="zh-CN"/>
        </w:rPr>
        <w:t>职务科技成果未严格遵守科技伦理规定，无法确保科技成果转化应用安全可控。</w:t>
      </w:r>
    </w:p>
    <w:p w14:paraId="4F71C9B7">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4.</w:t>
      </w:r>
      <w:r>
        <w:rPr>
          <w:rFonts w:hint="eastAsia" w:ascii="仿宋_GB2312" w:eastAsia="仿宋_GB2312" w:cs="仿宋_GB2312"/>
          <w:b w:val="0"/>
          <w:bCs w:val="0"/>
          <w:color w:val="auto"/>
          <w:sz w:val="32"/>
          <w:szCs w:val="32"/>
          <w:highlight w:val="none"/>
          <w:u w:val="none"/>
          <w:lang w:eastAsia="zh-CN"/>
        </w:rPr>
        <w:t>职务科技成果不具备权属清晰、应用前景明朗、承接对象明确、转化意愿强烈等条件。</w:t>
      </w:r>
    </w:p>
    <w:p w14:paraId="30DE6D42">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w:t>
      </w:r>
      <w:r>
        <w:rPr>
          <w:rFonts w:hint="eastAsia" w:ascii="仿宋_GB2312" w:eastAsia="仿宋_GB2312" w:cs="仿宋_GB2312"/>
          <w:b/>
          <w:bCs/>
          <w:color w:val="auto"/>
          <w:sz w:val="32"/>
          <w:szCs w:val="32"/>
          <w:highlight w:val="none"/>
          <w:u w:val="none"/>
          <w:lang w:val="en-US" w:eastAsia="zh-CN"/>
        </w:rPr>
        <w:t>十一</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〔违规行为〕</w:t>
      </w:r>
      <w:r>
        <w:rPr>
          <w:rFonts w:hint="eastAsia" w:ascii="仿宋_GB2312" w:eastAsia="仿宋_GB2312" w:cs="仿宋_GB2312"/>
          <w:b w:val="0"/>
          <w:bCs w:val="0"/>
          <w:color w:val="auto"/>
          <w:sz w:val="32"/>
          <w:szCs w:val="32"/>
          <w:highlight w:val="none"/>
          <w:u w:val="none"/>
          <w:lang w:val="en-US" w:eastAsia="zh-CN"/>
        </w:rPr>
        <w:t>参与</w:t>
      </w:r>
      <w:r>
        <w:rPr>
          <w:rFonts w:hint="eastAsia" w:ascii="仿宋_GB2312" w:eastAsia="仿宋_GB2312" w:cs="仿宋_GB2312"/>
          <w:b w:val="0"/>
          <w:bCs w:val="0"/>
          <w:color w:val="auto"/>
          <w:sz w:val="32"/>
          <w:szCs w:val="32"/>
          <w:highlight w:val="none"/>
          <w:u w:val="none"/>
          <w:lang w:eastAsia="zh-CN"/>
        </w:rPr>
        <w:t>转化人员在</w:t>
      </w:r>
      <w:r>
        <w:rPr>
          <w:rFonts w:hint="eastAsia" w:ascii="仿宋_GB2312" w:eastAsia="仿宋_GB2312" w:cs="仿宋_GB2312"/>
          <w:b w:val="0"/>
          <w:bCs w:val="0"/>
          <w:color w:val="auto"/>
          <w:sz w:val="32"/>
          <w:szCs w:val="32"/>
          <w:highlight w:val="none"/>
          <w:u w:val="none"/>
          <w:lang w:val="en-US" w:eastAsia="zh-CN"/>
        </w:rPr>
        <w:t>赋权转化中</w:t>
      </w:r>
      <w:r>
        <w:rPr>
          <w:rFonts w:hint="eastAsia" w:ascii="仿宋_GB2312" w:eastAsia="仿宋_GB2312" w:cs="仿宋_GB2312"/>
          <w:b w:val="0"/>
          <w:bCs w:val="0"/>
          <w:color w:val="auto"/>
          <w:sz w:val="32"/>
          <w:szCs w:val="32"/>
          <w:highlight w:val="none"/>
          <w:u w:val="none"/>
          <w:lang w:eastAsia="zh-CN"/>
        </w:rPr>
        <w:t>不得有以下相关行为:</w:t>
      </w:r>
    </w:p>
    <w:p w14:paraId="1E31C26E">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1.</w:t>
      </w:r>
      <w:r>
        <w:rPr>
          <w:rFonts w:hint="eastAsia" w:ascii="仿宋_GB2312" w:eastAsia="仿宋_GB2312" w:cs="仿宋_GB2312"/>
          <w:b w:val="0"/>
          <w:bCs w:val="0"/>
          <w:color w:val="auto"/>
          <w:sz w:val="32"/>
          <w:szCs w:val="32"/>
          <w:highlight w:val="none"/>
          <w:u w:val="none"/>
          <w:lang w:eastAsia="zh-CN"/>
        </w:rPr>
        <w:t>参与转化人员违反科学道德、科技伦理和职业道德规范，或利用职务之便，干扰或阻碍科技成果转化工作，或擅自披露、使用或转让科技成果的关键技术，未严格执行科学技术保密要求，未经单位允许利用职务科技成果创办企业。</w:t>
      </w:r>
    </w:p>
    <w:p w14:paraId="658757D7">
      <w:pPr>
        <w:pStyle w:val="2"/>
        <w:keepNext w:val="0"/>
        <w:keepLines w:val="0"/>
        <w:pageBreakBefore w:val="0"/>
        <w:widowControl/>
        <w:kinsoku/>
        <w:wordWrap/>
        <w:overflowPunct/>
        <w:topLinePunct w:val="0"/>
        <w:autoSpaceDE w:val="0"/>
        <w:autoSpaceDN w:val="0"/>
        <w:bidi w:val="0"/>
        <w:adjustRightInd w:val="0"/>
        <w:snapToGrid w:val="0"/>
        <w:spacing w:after="0" w:line="560" w:lineRule="exact"/>
        <w:ind w:left="0" w:right="0" w:firstLine="640" w:firstLineChars="200"/>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pacing w:val="0"/>
          <w:kern w:val="10"/>
          <w:sz w:val="32"/>
          <w:szCs w:val="32"/>
          <w:highlight w:val="none"/>
          <w:u w:val="none"/>
          <w:lang w:val="en-US" w:eastAsia="zh-CN"/>
        </w:rPr>
        <w:t>2.</w:t>
      </w:r>
      <w:r>
        <w:rPr>
          <w:rFonts w:hint="eastAsia" w:ascii="仿宋_GB2312" w:eastAsia="仿宋_GB2312" w:cs="仿宋_GB2312"/>
          <w:b w:val="0"/>
          <w:bCs w:val="0"/>
          <w:color w:val="auto"/>
          <w:sz w:val="32"/>
          <w:szCs w:val="32"/>
          <w:highlight w:val="none"/>
          <w:u w:val="none"/>
          <w:lang w:eastAsia="zh-CN"/>
        </w:rPr>
        <w:t>参与转化人员</w:t>
      </w:r>
      <w:r>
        <w:rPr>
          <w:rFonts w:hint="eastAsia" w:ascii="仿宋_GB2312" w:eastAsia="仿宋_GB2312" w:cs="仿宋_GB2312"/>
          <w:b w:val="0"/>
          <w:bCs w:val="0"/>
          <w:color w:val="auto"/>
          <w:spacing w:val="0"/>
          <w:kern w:val="10"/>
          <w:sz w:val="32"/>
          <w:szCs w:val="32"/>
          <w:highlight w:val="none"/>
          <w:u w:val="none"/>
          <w:lang w:eastAsia="zh-CN"/>
        </w:rPr>
        <w:t>将职务科技成果及其技术资料和数据占为己有，侵犯</w:t>
      </w:r>
      <w:r>
        <w:rPr>
          <w:rFonts w:hint="eastAsia" w:ascii="仿宋_GB2312" w:eastAsia="仿宋_GB2312" w:cs="仿宋_GB2312"/>
          <w:b w:val="0"/>
          <w:bCs w:val="0"/>
          <w:color w:val="auto"/>
          <w:spacing w:val="0"/>
          <w:kern w:val="10"/>
          <w:sz w:val="32"/>
          <w:szCs w:val="32"/>
          <w:highlight w:val="none"/>
          <w:u w:val="none"/>
          <w:lang w:val="en-US" w:eastAsia="zh-CN"/>
        </w:rPr>
        <w:t>本</w:t>
      </w:r>
      <w:r>
        <w:rPr>
          <w:rFonts w:hint="eastAsia" w:ascii="仿宋_GB2312" w:eastAsia="仿宋_GB2312" w:cs="仿宋_GB2312"/>
          <w:b w:val="0"/>
          <w:bCs w:val="0"/>
          <w:color w:val="auto"/>
          <w:spacing w:val="0"/>
          <w:kern w:val="10"/>
          <w:sz w:val="32"/>
          <w:szCs w:val="32"/>
          <w:highlight w:val="none"/>
          <w:u w:val="none"/>
          <w:lang w:eastAsia="zh-CN"/>
        </w:rPr>
        <w:t>单位的合法权益；或者以唆使窃取、利诱胁迫等手段侵占他人科技成果，侵犯他人合法权益。</w:t>
      </w:r>
    </w:p>
    <w:p w14:paraId="7DAAC531">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3.</w:t>
      </w:r>
      <w:r>
        <w:rPr>
          <w:rFonts w:hint="eastAsia" w:ascii="仿宋_GB2312" w:eastAsia="仿宋_GB2312" w:cs="仿宋_GB2312"/>
          <w:b w:val="0"/>
          <w:bCs w:val="0"/>
          <w:color w:val="auto"/>
          <w:sz w:val="32"/>
          <w:szCs w:val="32"/>
          <w:highlight w:val="none"/>
          <w:u w:val="none"/>
          <w:lang w:eastAsia="zh-CN"/>
        </w:rPr>
        <w:t>参与转化人员玩忽职守、以权谋私。以任何名目和理由向科技成果转化实施者索要或收受可能影响成果评价与转化行为的礼品、礼金、</w:t>
      </w:r>
      <w:r>
        <w:rPr>
          <w:rFonts w:hint="eastAsia" w:ascii="仿宋_GB2312" w:eastAsia="仿宋_GB2312" w:cs="仿宋_GB2312"/>
          <w:b w:val="0"/>
          <w:bCs w:val="0"/>
          <w:color w:val="auto"/>
          <w:sz w:val="32"/>
          <w:szCs w:val="32"/>
          <w:highlight w:val="none"/>
          <w:u w:val="none"/>
          <w:lang w:val="en-US" w:eastAsia="zh-CN"/>
        </w:rPr>
        <w:t>消费卡和有价证券、股权、其他金融产品等财务</w:t>
      </w:r>
      <w:r>
        <w:rPr>
          <w:rFonts w:hint="eastAsia" w:ascii="仿宋_GB2312" w:eastAsia="仿宋_GB2312" w:cs="仿宋_GB2312"/>
          <w:b w:val="0"/>
          <w:bCs w:val="0"/>
          <w:color w:val="auto"/>
          <w:sz w:val="32"/>
          <w:szCs w:val="32"/>
          <w:highlight w:val="none"/>
          <w:u w:val="none"/>
          <w:lang w:eastAsia="zh-CN"/>
        </w:rPr>
        <w:t>或提供有偿服务；或利用职权或职务上的影响，为配偶、子女及其配偶等亲属和其他特定关系人员在科技成果转化行为中提供便利和优惠条件；或在医疗卫生机构后续成果转化产品进入本单位销售或使用过程中，存在滥用职权、违规审批、违规采购等行为。</w:t>
      </w:r>
    </w:p>
    <w:p w14:paraId="76B3BA68">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4.</w:t>
      </w:r>
      <w:r>
        <w:rPr>
          <w:rFonts w:hint="eastAsia" w:ascii="仿宋_GB2312" w:eastAsia="仿宋_GB2312" w:cs="仿宋_GB2312"/>
          <w:b w:val="0"/>
          <w:bCs w:val="0"/>
          <w:color w:val="auto"/>
          <w:sz w:val="32"/>
          <w:szCs w:val="32"/>
          <w:highlight w:val="none"/>
          <w:u w:val="none"/>
          <w:lang w:eastAsia="zh-CN"/>
        </w:rPr>
        <w:t>参与转化人员违反任职回避和履职回避等相关规定。</w:t>
      </w:r>
    </w:p>
    <w:p w14:paraId="29305A23">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center"/>
        <w:textAlignment w:val="baseline"/>
        <w:rPr>
          <w:rFonts w:hint="eastAsia" w:ascii="黑体" w:hAnsi="黑体" w:eastAsia="黑体" w:cs="黑体"/>
          <w:b w:val="0"/>
          <w:bCs w:val="0"/>
          <w:color w:val="auto"/>
          <w:sz w:val="32"/>
          <w:szCs w:val="32"/>
          <w:highlight w:val="none"/>
          <w:u w:val="none"/>
          <w:lang w:val="en-US" w:eastAsia="zh-CN"/>
        </w:rPr>
      </w:pPr>
    </w:p>
    <w:p w14:paraId="769B31D5">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center"/>
        <w:textAlignment w:val="baseline"/>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第四章 高校院所和医疗机构内部认定</w:t>
      </w:r>
    </w:p>
    <w:p w14:paraId="0F5762C7">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第十</w:t>
      </w:r>
      <w:r>
        <w:rPr>
          <w:rFonts w:hint="eastAsia" w:ascii="仿宋_GB2312" w:eastAsia="仿宋_GB2312" w:cs="仿宋_GB2312"/>
          <w:b/>
          <w:bCs/>
          <w:color w:val="auto"/>
          <w:sz w:val="32"/>
          <w:szCs w:val="32"/>
          <w:highlight w:val="none"/>
          <w:u w:val="none"/>
          <w:lang w:val="en-US" w:eastAsia="zh-CN"/>
        </w:rPr>
        <w:t>二</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eastAsia="zh-CN"/>
        </w:rPr>
        <w:t>工作组织</w:t>
      </w:r>
      <w:r>
        <w:rPr>
          <w:rFonts w:hint="eastAsia" w:ascii="楷体_GB2312" w:hAnsi="楷体_GB2312" w:eastAsia="楷体_GB2312" w:cs="楷体_GB2312"/>
          <w:b/>
          <w:bCs/>
          <w:color w:val="auto"/>
          <w:sz w:val="32"/>
          <w:szCs w:val="32"/>
          <w:highlight w:val="none"/>
          <w:u w:val="none"/>
          <w:lang w:val="en-US" w:eastAsia="zh-CN"/>
        </w:rPr>
        <w:t>〕</w:t>
      </w:r>
      <w:r>
        <w:rPr>
          <w:rFonts w:hint="eastAsia" w:ascii="仿宋_GB2312" w:eastAsia="仿宋_GB2312" w:cs="仿宋_GB2312"/>
          <w:b w:val="0"/>
          <w:bCs w:val="0"/>
          <w:color w:val="auto"/>
          <w:sz w:val="32"/>
          <w:szCs w:val="32"/>
          <w:highlight w:val="none"/>
          <w:u w:val="none"/>
          <w:lang w:eastAsia="zh-CN"/>
        </w:rPr>
        <w:t>高校院所</w:t>
      </w:r>
      <w:r>
        <w:rPr>
          <w:rFonts w:hint="eastAsia" w:ascii="仿宋_GB2312" w:eastAsia="仿宋_GB2312" w:cs="仿宋_GB2312"/>
          <w:b w:val="0"/>
          <w:bCs w:val="0"/>
          <w:color w:val="auto"/>
          <w:sz w:val="32"/>
          <w:szCs w:val="32"/>
          <w:highlight w:val="none"/>
          <w:u w:val="none"/>
          <w:lang w:val="en-US" w:eastAsia="zh-CN"/>
        </w:rPr>
        <w:t>和医疗机构</w:t>
      </w:r>
      <w:r>
        <w:rPr>
          <w:rFonts w:hint="eastAsia" w:ascii="仿宋_GB2312" w:eastAsia="仿宋_GB2312" w:cs="仿宋_GB2312"/>
          <w:b w:val="0"/>
          <w:bCs w:val="0"/>
          <w:color w:val="auto"/>
          <w:sz w:val="32"/>
          <w:szCs w:val="32"/>
          <w:highlight w:val="none"/>
          <w:u w:val="none"/>
          <w:lang w:eastAsia="zh-CN"/>
        </w:rPr>
        <w:t>要完善科技成果转化尽职免责内部认定制度，对管理权限范围科技成果转化活动开展尽职免责认定，明确内部认定工作程序和规则，可以采取组建尽职免责内部认定专门工作小组或委托第三方的方式开展。</w:t>
      </w:r>
    </w:p>
    <w:p w14:paraId="64DF0C93">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第十</w:t>
      </w:r>
      <w:r>
        <w:rPr>
          <w:rFonts w:hint="eastAsia" w:ascii="仿宋_GB2312" w:eastAsia="仿宋_GB2312" w:cs="仿宋_GB2312"/>
          <w:b/>
          <w:bCs/>
          <w:color w:val="auto"/>
          <w:sz w:val="32"/>
          <w:szCs w:val="32"/>
          <w:highlight w:val="none"/>
          <w:u w:val="none"/>
          <w:lang w:val="en-US" w:eastAsia="zh-CN"/>
        </w:rPr>
        <w:t>三</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eastAsia="zh-CN"/>
        </w:rPr>
        <w:t>内部认定流程</w:t>
      </w:r>
      <w:r>
        <w:rPr>
          <w:rFonts w:hint="eastAsia" w:ascii="楷体_GB2312" w:hAnsi="楷体_GB2312" w:eastAsia="楷体_GB2312" w:cs="楷体_GB2312"/>
          <w:b/>
          <w:bCs/>
          <w:color w:val="auto"/>
          <w:sz w:val="32"/>
          <w:szCs w:val="32"/>
          <w:highlight w:val="none"/>
          <w:u w:val="none"/>
          <w:lang w:val="en-US" w:eastAsia="zh-CN"/>
        </w:rPr>
        <w:t>〕</w:t>
      </w:r>
      <w:r>
        <w:rPr>
          <w:rFonts w:hint="eastAsia" w:ascii="仿宋_GB2312" w:eastAsia="仿宋_GB2312" w:cs="仿宋_GB2312"/>
          <w:b w:val="0"/>
          <w:bCs w:val="0"/>
          <w:color w:val="auto"/>
          <w:sz w:val="32"/>
          <w:szCs w:val="32"/>
          <w:highlight w:val="none"/>
          <w:u w:val="none"/>
          <w:lang w:eastAsia="zh-CN"/>
        </w:rPr>
        <w:t>高校院所</w:t>
      </w:r>
      <w:r>
        <w:rPr>
          <w:rFonts w:hint="eastAsia" w:ascii="仿宋_GB2312" w:eastAsia="仿宋_GB2312" w:cs="仿宋_GB2312"/>
          <w:b w:val="0"/>
          <w:bCs w:val="0"/>
          <w:color w:val="auto"/>
          <w:sz w:val="32"/>
          <w:szCs w:val="32"/>
          <w:highlight w:val="none"/>
          <w:u w:val="none"/>
          <w:lang w:val="en-US" w:eastAsia="zh-CN"/>
        </w:rPr>
        <w:t>和医疗机构</w:t>
      </w:r>
      <w:r>
        <w:rPr>
          <w:rFonts w:hint="eastAsia" w:ascii="仿宋_GB2312" w:eastAsia="仿宋_GB2312" w:cs="仿宋_GB2312"/>
          <w:b w:val="0"/>
          <w:bCs w:val="0"/>
          <w:color w:val="auto"/>
          <w:sz w:val="32"/>
          <w:szCs w:val="32"/>
          <w:highlight w:val="none"/>
          <w:u w:val="none"/>
          <w:lang w:eastAsia="zh-CN"/>
        </w:rPr>
        <w:t>应坚持以事实为依据，认真细致开展尽职免责内部认定调查，客观公正收集证据材料，充分听取认定对象的意见，经集体研究后作出尽职免责内部认定结论。尽职免责内部认定结论应提交党委会、党政联席会或办公会审议确定。</w:t>
      </w:r>
    </w:p>
    <w:p w14:paraId="50C74736">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eastAsia="zh-CN"/>
        </w:rPr>
        <w:t>尽职免责内部认定结论审议确定后，送认定对象签字。认定对象如有异议的，可在规定时间内提出复核申请。经复核，若有证据证明存在认定结论错误的，应当重新进行认定；若不予采纳，应当作出书面说明。开展尽职免责内部认定时，认定对象应主动回避，不得参与认定工作。</w:t>
      </w:r>
    </w:p>
    <w:p w14:paraId="21EBE4FB">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第十</w:t>
      </w:r>
      <w:r>
        <w:rPr>
          <w:rFonts w:hint="eastAsia" w:ascii="仿宋_GB2312" w:eastAsia="仿宋_GB2312" w:cs="仿宋_GB2312"/>
          <w:b/>
          <w:bCs/>
          <w:color w:val="auto"/>
          <w:sz w:val="32"/>
          <w:szCs w:val="32"/>
          <w:highlight w:val="none"/>
          <w:u w:val="none"/>
          <w:lang w:val="en-US" w:eastAsia="zh-CN"/>
        </w:rPr>
        <w:t>四</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eastAsia="zh-CN"/>
        </w:rPr>
        <w:t>内部认定结果</w:t>
      </w:r>
      <w:r>
        <w:rPr>
          <w:rFonts w:hint="eastAsia" w:ascii="楷体_GB2312" w:hAnsi="楷体_GB2312" w:eastAsia="楷体_GB2312" w:cs="楷体_GB2312"/>
          <w:b/>
          <w:bCs/>
          <w:color w:val="auto"/>
          <w:sz w:val="32"/>
          <w:szCs w:val="32"/>
          <w:highlight w:val="none"/>
          <w:u w:val="none"/>
          <w:lang w:val="en-US" w:eastAsia="zh-CN"/>
        </w:rPr>
        <w:t>〕</w:t>
      </w:r>
      <w:r>
        <w:rPr>
          <w:rFonts w:hint="eastAsia" w:ascii="仿宋_GB2312" w:eastAsia="仿宋_GB2312" w:cs="仿宋_GB2312"/>
          <w:b w:val="0"/>
          <w:bCs w:val="0"/>
          <w:color w:val="auto"/>
          <w:sz w:val="32"/>
          <w:szCs w:val="32"/>
          <w:highlight w:val="none"/>
          <w:u w:val="none"/>
          <w:lang w:eastAsia="zh-CN"/>
        </w:rPr>
        <w:t>内部认定结论分为符合免责条件、基本符合免责条件、不符合免责条件三类：</w:t>
      </w:r>
    </w:p>
    <w:p w14:paraId="5174D042">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1.</w:t>
      </w:r>
      <w:r>
        <w:rPr>
          <w:rFonts w:hint="eastAsia" w:ascii="仿宋_GB2312" w:eastAsia="仿宋_GB2312" w:cs="仿宋_GB2312"/>
          <w:b w:val="0"/>
          <w:bCs w:val="0"/>
          <w:color w:val="auto"/>
          <w:sz w:val="32"/>
          <w:szCs w:val="32"/>
          <w:highlight w:val="none"/>
          <w:u w:val="none"/>
          <w:lang w:eastAsia="zh-CN"/>
        </w:rPr>
        <w:t>符合免责条件是指认定对象认真履行职责，符合本指引尽职免责情形，应当依据本指引予以免责。</w:t>
      </w:r>
    </w:p>
    <w:p w14:paraId="0D3F4314">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2.</w:t>
      </w:r>
      <w:r>
        <w:rPr>
          <w:rFonts w:hint="eastAsia" w:ascii="仿宋_GB2312" w:eastAsia="仿宋_GB2312" w:cs="仿宋_GB2312"/>
          <w:b w:val="0"/>
          <w:bCs w:val="0"/>
          <w:color w:val="auto"/>
          <w:sz w:val="32"/>
          <w:szCs w:val="32"/>
          <w:highlight w:val="none"/>
          <w:u w:val="none"/>
          <w:lang w:eastAsia="zh-CN"/>
        </w:rPr>
        <w:t>基本符合免责条件是指认定对象基本履行工作职责，基本符合本指引尽职免责情形，但在办理相关程序和风险防控中还存在瑕疵、仍需改进，发现的问题不是导致单位利益损失的直接原因。</w:t>
      </w:r>
    </w:p>
    <w:p w14:paraId="13C490AB">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3.</w:t>
      </w:r>
      <w:r>
        <w:rPr>
          <w:rFonts w:hint="eastAsia" w:ascii="仿宋_GB2312" w:eastAsia="仿宋_GB2312" w:cs="仿宋_GB2312"/>
          <w:b w:val="0"/>
          <w:bCs w:val="0"/>
          <w:color w:val="auto"/>
          <w:sz w:val="32"/>
          <w:szCs w:val="32"/>
          <w:highlight w:val="none"/>
          <w:u w:val="none"/>
          <w:lang w:eastAsia="zh-CN"/>
        </w:rPr>
        <w:t>不符合免责条件是指认定对象未履行规定职责，应当予以追责。</w:t>
      </w:r>
    </w:p>
    <w:p w14:paraId="44DBCA82">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第十</w:t>
      </w:r>
      <w:r>
        <w:rPr>
          <w:rFonts w:hint="eastAsia" w:ascii="仿宋_GB2312" w:eastAsia="仿宋_GB2312" w:cs="仿宋_GB2312"/>
          <w:b/>
          <w:bCs/>
          <w:color w:val="auto"/>
          <w:sz w:val="32"/>
          <w:szCs w:val="32"/>
          <w:highlight w:val="none"/>
          <w:u w:val="none"/>
          <w:lang w:val="en-US" w:eastAsia="zh-CN"/>
        </w:rPr>
        <w:t>五</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eastAsia="zh-CN"/>
        </w:rPr>
        <w:t>沟通反馈</w:t>
      </w:r>
      <w:r>
        <w:rPr>
          <w:rFonts w:hint="eastAsia" w:ascii="楷体_GB2312" w:hAnsi="楷体_GB2312" w:eastAsia="楷体_GB2312" w:cs="楷体_GB2312"/>
          <w:b/>
          <w:bCs/>
          <w:color w:val="auto"/>
          <w:sz w:val="32"/>
          <w:szCs w:val="32"/>
          <w:highlight w:val="none"/>
          <w:u w:val="none"/>
          <w:lang w:val="en-US" w:eastAsia="zh-CN"/>
        </w:rPr>
        <w:t>〕</w:t>
      </w:r>
      <w:r>
        <w:rPr>
          <w:rFonts w:hint="eastAsia" w:ascii="仿宋_GB2312" w:eastAsia="仿宋_GB2312" w:cs="仿宋_GB2312"/>
          <w:b w:val="0"/>
          <w:bCs w:val="0"/>
          <w:color w:val="auto"/>
          <w:sz w:val="32"/>
          <w:szCs w:val="32"/>
          <w:highlight w:val="none"/>
          <w:u w:val="none"/>
          <w:lang w:eastAsia="zh-CN"/>
        </w:rPr>
        <w:t>高校院所</w:t>
      </w:r>
      <w:r>
        <w:rPr>
          <w:rFonts w:hint="eastAsia" w:ascii="仿宋_GB2312" w:eastAsia="仿宋_GB2312" w:cs="仿宋_GB2312"/>
          <w:b w:val="0"/>
          <w:bCs w:val="0"/>
          <w:color w:val="auto"/>
          <w:sz w:val="32"/>
          <w:szCs w:val="32"/>
          <w:highlight w:val="none"/>
          <w:u w:val="none"/>
          <w:lang w:val="en-US" w:eastAsia="zh-CN"/>
        </w:rPr>
        <w:t>和医疗机构</w:t>
      </w:r>
      <w:r>
        <w:rPr>
          <w:rFonts w:hint="eastAsia" w:ascii="仿宋_GB2312" w:eastAsia="仿宋_GB2312" w:cs="仿宋_GB2312"/>
          <w:b w:val="0"/>
          <w:bCs w:val="0"/>
          <w:color w:val="auto"/>
          <w:sz w:val="32"/>
          <w:szCs w:val="32"/>
          <w:highlight w:val="none"/>
          <w:u w:val="none"/>
          <w:lang w:eastAsia="zh-CN"/>
        </w:rPr>
        <w:t>作出尽职免责内部认定结论后，应及时了解认定对象的思想动态，根据不同情形区别对待、妥善处置，帮助认定对象放下思想包袱，充分体现组织的真心爱护、真诚关怀，让认定对象轻装上阵、积极工作。</w:t>
      </w:r>
    </w:p>
    <w:p w14:paraId="70B15F0F">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center"/>
        <w:textAlignment w:val="baseline"/>
        <w:rPr>
          <w:rFonts w:hint="eastAsia" w:ascii="黑体" w:hAnsi="黑体" w:eastAsia="黑体" w:cs="黑体"/>
          <w:b w:val="0"/>
          <w:bCs w:val="0"/>
          <w:color w:val="auto"/>
          <w:sz w:val="32"/>
          <w:szCs w:val="32"/>
          <w:highlight w:val="none"/>
          <w:u w:val="none"/>
          <w:lang w:val="en-US" w:eastAsia="zh-CN"/>
        </w:rPr>
      </w:pPr>
    </w:p>
    <w:p w14:paraId="44FD1289">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center"/>
        <w:textAlignment w:val="baseline"/>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第五章 主管部门认定</w:t>
      </w:r>
    </w:p>
    <w:p w14:paraId="762DC5B0">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第十</w:t>
      </w:r>
      <w:r>
        <w:rPr>
          <w:rFonts w:hint="eastAsia" w:ascii="仿宋_GB2312" w:eastAsia="仿宋_GB2312" w:cs="仿宋_GB2312"/>
          <w:b/>
          <w:bCs/>
          <w:color w:val="auto"/>
          <w:sz w:val="32"/>
          <w:szCs w:val="32"/>
          <w:highlight w:val="none"/>
          <w:u w:val="none"/>
          <w:lang w:val="en-US" w:eastAsia="zh-CN"/>
        </w:rPr>
        <w:t>六</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eastAsia="zh-CN"/>
        </w:rPr>
        <w:t>认定程序</w:t>
      </w:r>
      <w:r>
        <w:rPr>
          <w:rFonts w:hint="eastAsia" w:ascii="楷体_GB2312" w:hAnsi="楷体_GB2312" w:eastAsia="楷体_GB2312" w:cs="楷体_GB2312"/>
          <w:b/>
          <w:bCs/>
          <w:color w:val="auto"/>
          <w:sz w:val="32"/>
          <w:szCs w:val="32"/>
          <w:highlight w:val="none"/>
          <w:u w:val="none"/>
          <w:lang w:val="en-US" w:eastAsia="zh-CN"/>
        </w:rPr>
        <w:t>〕</w:t>
      </w:r>
      <w:r>
        <w:rPr>
          <w:rFonts w:hint="eastAsia" w:ascii="仿宋_GB2312" w:eastAsia="仿宋_GB2312" w:cs="仿宋_GB2312"/>
          <w:b w:val="0"/>
          <w:bCs w:val="0"/>
          <w:color w:val="auto"/>
          <w:sz w:val="32"/>
          <w:szCs w:val="32"/>
          <w:highlight w:val="none"/>
          <w:u w:val="none"/>
          <w:lang w:eastAsia="zh-CN"/>
        </w:rPr>
        <w:t>省科技厅会同省教育厅、财政厅、</w:t>
      </w:r>
      <w:r>
        <w:rPr>
          <w:rFonts w:hint="eastAsia" w:ascii="仿宋_GB2312" w:eastAsia="仿宋_GB2312" w:cs="仿宋_GB2312"/>
          <w:b w:val="0"/>
          <w:bCs w:val="0"/>
          <w:color w:val="auto"/>
          <w:sz w:val="32"/>
          <w:szCs w:val="32"/>
          <w:highlight w:val="none"/>
          <w:u w:val="none"/>
          <w:lang w:val="en-US" w:eastAsia="zh-CN"/>
        </w:rPr>
        <w:t>卫生健康委</w:t>
      </w:r>
      <w:r>
        <w:rPr>
          <w:rFonts w:hint="eastAsia" w:ascii="仿宋_GB2312" w:eastAsia="仿宋_GB2312" w:cs="仿宋_GB2312"/>
          <w:b w:val="0"/>
          <w:bCs w:val="0"/>
          <w:color w:val="auto"/>
          <w:sz w:val="32"/>
          <w:szCs w:val="32"/>
          <w:highlight w:val="none"/>
          <w:u w:val="none"/>
          <w:lang w:eastAsia="zh-CN"/>
        </w:rPr>
        <w:t>等部门按照职责分工，指导支持高校院所</w:t>
      </w:r>
      <w:r>
        <w:rPr>
          <w:rFonts w:hint="eastAsia" w:ascii="仿宋_GB2312" w:eastAsia="仿宋_GB2312" w:cs="仿宋_GB2312"/>
          <w:b w:val="0"/>
          <w:bCs w:val="0"/>
          <w:color w:val="auto"/>
          <w:sz w:val="32"/>
          <w:szCs w:val="32"/>
          <w:highlight w:val="none"/>
          <w:u w:val="none"/>
          <w:lang w:val="en-US" w:eastAsia="zh-CN"/>
        </w:rPr>
        <w:t>和医疗机构</w:t>
      </w:r>
      <w:r>
        <w:rPr>
          <w:rFonts w:hint="eastAsia" w:ascii="仿宋_GB2312" w:eastAsia="仿宋_GB2312" w:cs="仿宋_GB2312"/>
          <w:b w:val="0"/>
          <w:bCs w:val="0"/>
          <w:color w:val="auto"/>
          <w:sz w:val="32"/>
          <w:szCs w:val="32"/>
          <w:highlight w:val="none"/>
          <w:u w:val="none"/>
          <w:lang w:eastAsia="zh-CN"/>
        </w:rPr>
        <w:t>落实促进科技成果转化各项制度要求。其他有关职能部门在对高校院所</w:t>
      </w:r>
      <w:r>
        <w:rPr>
          <w:rFonts w:hint="eastAsia" w:ascii="仿宋_GB2312" w:eastAsia="仿宋_GB2312" w:cs="仿宋_GB2312"/>
          <w:b w:val="0"/>
          <w:bCs w:val="0"/>
          <w:color w:val="auto"/>
          <w:sz w:val="32"/>
          <w:szCs w:val="32"/>
          <w:highlight w:val="none"/>
          <w:u w:val="none"/>
          <w:lang w:val="en-US" w:eastAsia="zh-CN"/>
        </w:rPr>
        <w:t>和医疗机构</w:t>
      </w:r>
      <w:r>
        <w:rPr>
          <w:rFonts w:hint="eastAsia" w:ascii="仿宋_GB2312" w:eastAsia="仿宋_GB2312" w:cs="仿宋_GB2312"/>
          <w:b w:val="0"/>
          <w:bCs w:val="0"/>
          <w:color w:val="auto"/>
          <w:sz w:val="32"/>
          <w:szCs w:val="32"/>
          <w:highlight w:val="none"/>
          <w:u w:val="none"/>
          <w:lang w:eastAsia="zh-CN"/>
        </w:rPr>
        <w:t>开展监督检查过程中，对高校院所</w:t>
      </w:r>
      <w:r>
        <w:rPr>
          <w:rFonts w:hint="eastAsia" w:ascii="仿宋_GB2312" w:eastAsia="仿宋_GB2312" w:cs="仿宋_GB2312"/>
          <w:b w:val="0"/>
          <w:bCs w:val="0"/>
          <w:color w:val="auto"/>
          <w:sz w:val="32"/>
          <w:szCs w:val="32"/>
          <w:highlight w:val="none"/>
          <w:u w:val="none"/>
          <w:lang w:val="en-US" w:eastAsia="zh-CN"/>
        </w:rPr>
        <w:t>和医疗机构</w:t>
      </w:r>
      <w:r>
        <w:rPr>
          <w:rFonts w:hint="eastAsia" w:ascii="仿宋_GB2312" w:eastAsia="仿宋_GB2312" w:cs="仿宋_GB2312"/>
          <w:b w:val="0"/>
          <w:bCs w:val="0"/>
          <w:color w:val="auto"/>
          <w:sz w:val="32"/>
          <w:szCs w:val="32"/>
          <w:highlight w:val="none"/>
          <w:u w:val="none"/>
          <w:lang w:eastAsia="zh-CN"/>
        </w:rPr>
        <w:t>及领导班子科技成果转化决策活动是否符合本指引尽职免责条款存有明显疑问或较大异议的，可书面转由高校院所和医疗机构主管部门开展尽职免责认定。</w:t>
      </w:r>
    </w:p>
    <w:p w14:paraId="7634A8F1">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eastAsia="zh-CN"/>
        </w:rPr>
        <w:t>高校院所和医疗机构的主管部门接到认定事宜后，在15个工作日内组成尽职免责认定调查组，对相关事项进行调查核实，</w:t>
      </w:r>
      <w:r>
        <w:rPr>
          <w:rFonts w:hint="eastAsia" w:ascii="仿宋_GB2312" w:eastAsia="仿宋_GB2312" w:cs="仿宋_GB2312"/>
          <w:b w:val="0"/>
          <w:bCs w:val="0"/>
          <w:color w:val="auto"/>
          <w:sz w:val="32"/>
          <w:szCs w:val="32"/>
          <w:highlight w:val="none"/>
          <w:u w:val="none"/>
          <w:lang w:val="en-US" w:eastAsia="zh-CN"/>
        </w:rPr>
        <w:t>当某项</w:t>
      </w:r>
      <w:r>
        <w:rPr>
          <w:rFonts w:hint="eastAsia" w:ascii="仿宋_GB2312" w:eastAsia="仿宋_GB2312" w:cs="仿宋_GB2312"/>
          <w:b w:val="0"/>
          <w:bCs w:val="0"/>
          <w:color w:val="auto"/>
          <w:sz w:val="32"/>
          <w:szCs w:val="32"/>
          <w:highlight w:val="none"/>
          <w:u w:val="none"/>
          <w:lang w:eastAsia="zh-CN"/>
        </w:rPr>
        <w:t>成果转化决策活动</w:t>
      </w:r>
      <w:r>
        <w:rPr>
          <w:rFonts w:hint="eastAsia" w:ascii="仿宋_GB2312" w:eastAsia="仿宋_GB2312" w:cs="仿宋_GB2312"/>
          <w:b w:val="0"/>
          <w:bCs w:val="0"/>
          <w:color w:val="auto"/>
          <w:sz w:val="32"/>
          <w:szCs w:val="32"/>
          <w:highlight w:val="none"/>
          <w:u w:val="none"/>
          <w:lang w:val="en-US" w:eastAsia="zh-CN"/>
        </w:rPr>
        <w:t>有较大异议时，可由省科技、教育、财政、卫生健康委等部门联合做出解释认定，</w:t>
      </w:r>
      <w:r>
        <w:rPr>
          <w:rFonts w:hint="eastAsia" w:ascii="仿宋_GB2312" w:eastAsia="仿宋_GB2312" w:cs="仿宋_GB2312"/>
          <w:b w:val="0"/>
          <w:bCs w:val="0"/>
          <w:color w:val="auto"/>
          <w:sz w:val="32"/>
          <w:szCs w:val="32"/>
          <w:highlight w:val="none"/>
          <w:u w:val="none"/>
          <w:lang w:eastAsia="zh-CN"/>
        </w:rPr>
        <w:t>并与有关职能部门充分沟通，确认是否属于本指引所列免责情形。调查核实后，主管部门出具认定意见并反馈有关职能部门，可作为监督检查的重要依据。</w:t>
      </w:r>
    </w:p>
    <w:p w14:paraId="137BE615">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第十</w:t>
      </w:r>
      <w:r>
        <w:rPr>
          <w:rFonts w:hint="eastAsia" w:ascii="仿宋_GB2312" w:eastAsia="仿宋_GB2312" w:cs="仿宋_GB2312"/>
          <w:b/>
          <w:bCs/>
          <w:color w:val="auto"/>
          <w:sz w:val="32"/>
          <w:szCs w:val="32"/>
          <w:highlight w:val="none"/>
          <w:u w:val="none"/>
          <w:lang w:val="en-US" w:eastAsia="zh-CN"/>
        </w:rPr>
        <w:t>七</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eastAsia="zh-CN"/>
        </w:rPr>
        <w:t>认定结果</w:t>
      </w:r>
      <w:r>
        <w:rPr>
          <w:rFonts w:hint="eastAsia" w:ascii="楷体_GB2312" w:hAnsi="楷体_GB2312" w:eastAsia="楷体_GB2312" w:cs="楷体_GB2312"/>
          <w:b/>
          <w:bCs/>
          <w:color w:val="auto"/>
          <w:sz w:val="32"/>
          <w:szCs w:val="32"/>
          <w:highlight w:val="none"/>
          <w:u w:val="none"/>
          <w:lang w:val="en-US" w:eastAsia="zh-CN"/>
        </w:rPr>
        <w:t>〕</w:t>
      </w:r>
      <w:r>
        <w:rPr>
          <w:rFonts w:hint="eastAsia" w:ascii="仿宋_GB2312" w:eastAsia="仿宋_GB2312" w:cs="仿宋_GB2312"/>
          <w:b w:val="0"/>
          <w:bCs w:val="0"/>
          <w:color w:val="auto"/>
          <w:sz w:val="32"/>
          <w:szCs w:val="32"/>
          <w:highlight w:val="none"/>
          <w:u w:val="none"/>
          <w:lang w:eastAsia="zh-CN"/>
        </w:rPr>
        <w:t>部门认定意见分为符合免责条件、基本符合免责条件、不符合免责条件三类：</w:t>
      </w:r>
    </w:p>
    <w:p w14:paraId="789CC9AB">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1.</w:t>
      </w:r>
      <w:r>
        <w:rPr>
          <w:rFonts w:hint="eastAsia" w:ascii="仿宋_GB2312" w:eastAsia="仿宋_GB2312" w:cs="仿宋_GB2312"/>
          <w:b w:val="0"/>
          <w:bCs w:val="0"/>
          <w:color w:val="auto"/>
          <w:sz w:val="32"/>
          <w:szCs w:val="32"/>
          <w:highlight w:val="none"/>
          <w:u w:val="none"/>
          <w:lang w:eastAsia="zh-CN"/>
        </w:rPr>
        <w:t>符合免责条件是指被认定单位切实制定完善管理制度、认真履行程序和规定职责，符合本指引所列尽职免责情形，应当予以免责。</w:t>
      </w:r>
    </w:p>
    <w:p w14:paraId="6526AA64">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2.</w:t>
      </w:r>
      <w:r>
        <w:rPr>
          <w:rFonts w:hint="eastAsia" w:ascii="仿宋_GB2312" w:eastAsia="仿宋_GB2312" w:cs="仿宋_GB2312"/>
          <w:b w:val="0"/>
          <w:bCs w:val="0"/>
          <w:color w:val="auto"/>
          <w:sz w:val="32"/>
          <w:szCs w:val="32"/>
          <w:highlight w:val="none"/>
          <w:u w:val="none"/>
          <w:lang w:eastAsia="zh-CN"/>
        </w:rPr>
        <w:t>基本符合免责条件是指被认定单位基本履行工作职责，基本符合本指引尽职免责情形，但在管理制度、内部决策程序和风险防控中还存在瑕疵、仍需改进，发现的问题不是导致单位利益损失的直接原因。</w:t>
      </w:r>
    </w:p>
    <w:p w14:paraId="691C4FE2">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val="0"/>
          <w:bCs w:val="0"/>
          <w:color w:val="auto"/>
          <w:sz w:val="32"/>
          <w:szCs w:val="32"/>
          <w:highlight w:val="none"/>
          <w:u w:val="none"/>
          <w:lang w:eastAsia="zh-CN"/>
        </w:rPr>
      </w:pPr>
      <w:r>
        <w:rPr>
          <w:rFonts w:hint="eastAsia" w:ascii="仿宋_GB2312" w:eastAsia="仿宋_GB2312" w:cs="仿宋_GB2312"/>
          <w:b w:val="0"/>
          <w:bCs w:val="0"/>
          <w:color w:val="auto"/>
          <w:sz w:val="32"/>
          <w:szCs w:val="32"/>
          <w:highlight w:val="none"/>
          <w:u w:val="none"/>
          <w:lang w:val="en-US" w:eastAsia="zh-CN"/>
        </w:rPr>
        <w:t>3.</w:t>
      </w:r>
      <w:r>
        <w:rPr>
          <w:rFonts w:hint="eastAsia" w:ascii="仿宋_GB2312" w:eastAsia="仿宋_GB2312" w:cs="仿宋_GB2312"/>
          <w:b w:val="0"/>
          <w:bCs w:val="0"/>
          <w:color w:val="auto"/>
          <w:sz w:val="32"/>
          <w:szCs w:val="32"/>
          <w:highlight w:val="none"/>
          <w:u w:val="none"/>
          <w:lang w:eastAsia="zh-CN"/>
        </w:rPr>
        <w:t>不符合免责条件是指被认定单位内部管理不当，未履行程序和规定职责，导致公共利益出现明显损失，应当予以追责。</w:t>
      </w:r>
    </w:p>
    <w:p w14:paraId="1389DC44">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第十</w:t>
      </w:r>
      <w:r>
        <w:rPr>
          <w:rFonts w:hint="eastAsia" w:ascii="仿宋_GB2312" w:eastAsia="仿宋_GB2312" w:cs="仿宋_GB2312"/>
          <w:b/>
          <w:bCs/>
          <w:color w:val="auto"/>
          <w:sz w:val="32"/>
          <w:szCs w:val="32"/>
          <w:highlight w:val="none"/>
          <w:u w:val="none"/>
          <w:lang w:val="en-US" w:eastAsia="zh-CN"/>
        </w:rPr>
        <w:t>八</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eastAsia="zh-CN"/>
        </w:rPr>
        <w:t>改进管理</w:t>
      </w:r>
      <w:r>
        <w:rPr>
          <w:rFonts w:hint="eastAsia" w:ascii="楷体_GB2312" w:hAnsi="楷体_GB2312" w:eastAsia="楷体_GB2312" w:cs="楷体_GB2312"/>
          <w:b/>
          <w:bCs/>
          <w:color w:val="auto"/>
          <w:sz w:val="32"/>
          <w:szCs w:val="32"/>
          <w:highlight w:val="none"/>
          <w:u w:val="none"/>
          <w:lang w:val="en-US" w:eastAsia="zh-CN"/>
        </w:rPr>
        <w:t>〕</w:t>
      </w:r>
      <w:r>
        <w:rPr>
          <w:rFonts w:hint="eastAsia" w:ascii="仿宋_GB2312" w:eastAsia="仿宋_GB2312" w:cs="仿宋_GB2312"/>
          <w:b w:val="0"/>
          <w:bCs w:val="0"/>
          <w:color w:val="auto"/>
          <w:sz w:val="32"/>
          <w:szCs w:val="32"/>
          <w:highlight w:val="none"/>
          <w:u w:val="none"/>
          <w:lang w:eastAsia="zh-CN"/>
        </w:rPr>
        <w:t>高校院所</w:t>
      </w:r>
      <w:r>
        <w:rPr>
          <w:rFonts w:hint="eastAsia" w:ascii="仿宋_GB2312" w:eastAsia="仿宋_GB2312" w:cs="仿宋_GB2312"/>
          <w:b w:val="0"/>
          <w:bCs w:val="0"/>
          <w:color w:val="auto"/>
          <w:sz w:val="32"/>
          <w:szCs w:val="32"/>
          <w:highlight w:val="none"/>
          <w:u w:val="none"/>
          <w:lang w:val="en-US" w:eastAsia="zh-CN"/>
        </w:rPr>
        <w:t>和医疗机构</w:t>
      </w:r>
      <w:r>
        <w:rPr>
          <w:rFonts w:hint="eastAsia" w:ascii="仿宋_GB2312" w:eastAsia="仿宋_GB2312" w:cs="仿宋_GB2312"/>
          <w:b w:val="0"/>
          <w:bCs w:val="0"/>
          <w:color w:val="auto"/>
          <w:sz w:val="32"/>
          <w:szCs w:val="32"/>
          <w:highlight w:val="none"/>
          <w:u w:val="none"/>
          <w:lang w:eastAsia="zh-CN"/>
        </w:rPr>
        <w:t>应当根据认定结果，认真完善内部决策程序和管理制度，深入分析问题原因，杜绝失误和错误重复发生，切实提高成果转化效能。</w:t>
      </w:r>
    </w:p>
    <w:p w14:paraId="3347F929">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rFonts w:hint="eastAsia" w:ascii="仿宋_GB2312" w:eastAsia="仿宋_GB2312" w:cs="仿宋_GB2312"/>
          <w:b/>
          <w:bCs/>
          <w:color w:val="auto"/>
          <w:sz w:val="32"/>
          <w:szCs w:val="32"/>
          <w:highlight w:val="none"/>
          <w:u w:val="none"/>
          <w:lang w:eastAsia="zh-CN"/>
        </w:rPr>
      </w:pPr>
      <w:r>
        <w:rPr>
          <w:rFonts w:hint="eastAsia" w:ascii="仿宋_GB2312" w:eastAsia="仿宋_GB2312" w:cs="仿宋_GB2312"/>
          <w:b/>
          <w:bCs/>
          <w:color w:val="auto"/>
          <w:sz w:val="32"/>
          <w:szCs w:val="32"/>
          <w:highlight w:val="none"/>
          <w:u w:val="none"/>
          <w:lang w:eastAsia="zh-CN"/>
        </w:rPr>
        <w:t>第十</w:t>
      </w:r>
      <w:r>
        <w:rPr>
          <w:rFonts w:hint="eastAsia" w:ascii="仿宋_GB2312" w:eastAsia="仿宋_GB2312" w:cs="仿宋_GB2312"/>
          <w:b/>
          <w:bCs/>
          <w:color w:val="auto"/>
          <w:sz w:val="32"/>
          <w:szCs w:val="32"/>
          <w:highlight w:val="none"/>
          <w:u w:val="none"/>
          <w:lang w:val="en-US" w:eastAsia="zh-CN"/>
        </w:rPr>
        <w:t>九</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w:t>
      </w:r>
      <w:r>
        <w:rPr>
          <w:rFonts w:hint="eastAsia" w:ascii="楷体_GB2312" w:hAnsi="楷体_GB2312" w:eastAsia="楷体_GB2312" w:cs="楷体_GB2312"/>
          <w:b/>
          <w:bCs/>
          <w:color w:val="auto"/>
          <w:sz w:val="32"/>
          <w:szCs w:val="32"/>
          <w:highlight w:val="none"/>
          <w:u w:val="none"/>
          <w:lang w:eastAsia="zh-CN"/>
        </w:rPr>
        <w:t>追责情形</w:t>
      </w:r>
      <w:r>
        <w:rPr>
          <w:rFonts w:hint="eastAsia" w:ascii="楷体_GB2312" w:hAnsi="楷体_GB2312" w:eastAsia="楷体_GB2312" w:cs="楷体_GB2312"/>
          <w:b/>
          <w:bCs/>
          <w:color w:val="auto"/>
          <w:sz w:val="32"/>
          <w:szCs w:val="32"/>
          <w:highlight w:val="none"/>
          <w:u w:val="none"/>
          <w:lang w:val="en-US" w:eastAsia="zh-CN"/>
        </w:rPr>
        <w:t>〕</w:t>
      </w:r>
      <w:r>
        <w:rPr>
          <w:rFonts w:hint="eastAsia" w:ascii="仿宋_GB2312" w:eastAsia="仿宋_GB2312" w:cs="仿宋_GB2312"/>
          <w:b w:val="0"/>
          <w:bCs w:val="0"/>
          <w:color w:val="auto"/>
          <w:sz w:val="32"/>
          <w:szCs w:val="32"/>
          <w:highlight w:val="none"/>
          <w:u w:val="none"/>
          <w:lang w:eastAsia="zh-CN"/>
        </w:rPr>
        <w:t>在执行尽职免责内部认定或部门认定并予以免责后，又有新证据表明，参与转化人员存在弄虚作假、隐瞒不报或违法违纪等情节的，应当予以追加责任。</w:t>
      </w:r>
    </w:p>
    <w:p w14:paraId="08F870AC">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both"/>
        <w:textAlignment w:val="baseline"/>
        <w:rPr>
          <w:rFonts w:hint="eastAsia" w:ascii="黑体" w:hAnsi="黑体" w:eastAsia="黑体" w:cs="黑体"/>
          <w:b w:val="0"/>
          <w:bCs w:val="0"/>
          <w:color w:val="auto"/>
          <w:sz w:val="32"/>
          <w:szCs w:val="32"/>
          <w:highlight w:val="none"/>
          <w:u w:val="none"/>
          <w:lang w:val="en-US" w:eastAsia="zh-CN"/>
        </w:rPr>
      </w:pPr>
    </w:p>
    <w:p w14:paraId="4215850D">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right="0"/>
        <w:jc w:val="center"/>
        <w:textAlignment w:val="baseline"/>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第六章 附 则</w:t>
      </w:r>
    </w:p>
    <w:p w14:paraId="26FF24FE">
      <w:pPr>
        <w:pStyle w:val="2"/>
        <w:keepNext w:val="0"/>
        <w:keepLines w:val="0"/>
        <w:pageBreakBefore w:val="0"/>
        <w:widowControl/>
        <w:kinsoku w:val="0"/>
        <w:wordWrap/>
        <w:overflowPunct/>
        <w:topLinePunct w:val="0"/>
        <w:autoSpaceDE w:val="0"/>
        <w:autoSpaceDN w:val="0"/>
        <w:bidi w:val="0"/>
        <w:adjustRightInd w:val="0"/>
        <w:snapToGrid w:val="0"/>
        <w:spacing w:after="0" w:line="560" w:lineRule="exact"/>
        <w:ind w:left="0" w:right="0" w:firstLine="643"/>
        <w:jc w:val="both"/>
        <w:textAlignment w:val="baseline"/>
        <w:rPr>
          <w:color w:val="auto"/>
          <w:u w:val="none"/>
        </w:rPr>
      </w:pPr>
      <w:r>
        <w:rPr>
          <w:rFonts w:hint="eastAsia" w:ascii="仿宋_GB2312" w:eastAsia="仿宋_GB2312" w:cs="仿宋_GB2312"/>
          <w:b/>
          <w:bCs/>
          <w:color w:val="auto"/>
          <w:sz w:val="32"/>
          <w:szCs w:val="32"/>
          <w:highlight w:val="none"/>
          <w:u w:val="none"/>
          <w:lang w:eastAsia="zh-CN"/>
        </w:rPr>
        <w:t>第</w:t>
      </w:r>
      <w:r>
        <w:rPr>
          <w:rFonts w:hint="eastAsia" w:ascii="仿宋_GB2312" w:eastAsia="仿宋_GB2312" w:cs="仿宋_GB2312"/>
          <w:b/>
          <w:bCs/>
          <w:color w:val="auto"/>
          <w:sz w:val="32"/>
          <w:szCs w:val="32"/>
          <w:highlight w:val="none"/>
          <w:u w:val="none"/>
          <w:lang w:val="en-US" w:eastAsia="zh-CN"/>
        </w:rPr>
        <w:t>二十</w:t>
      </w:r>
      <w:r>
        <w:rPr>
          <w:rFonts w:hint="eastAsia" w:ascii="仿宋_GB2312" w:eastAsia="仿宋_GB2312" w:cs="仿宋_GB2312"/>
          <w:b/>
          <w:bCs/>
          <w:color w:val="auto"/>
          <w:sz w:val="32"/>
          <w:szCs w:val="32"/>
          <w:highlight w:val="none"/>
          <w:u w:val="none"/>
          <w:lang w:eastAsia="zh-CN"/>
        </w:rPr>
        <w:t>条</w:t>
      </w:r>
      <w:r>
        <w:rPr>
          <w:rFonts w:hint="eastAsia" w:ascii="楷体_GB2312" w:hAnsi="楷体_GB2312" w:eastAsia="楷体_GB2312" w:cs="楷体_GB2312"/>
          <w:b/>
          <w:bCs/>
          <w:color w:val="auto"/>
          <w:sz w:val="32"/>
          <w:szCs w:val="32"/>
          <w:highlight w:val="none"/>
          <w:u w:val="none"/>
          <w:lang w:val="en-US" w:eastAsia="zh-CN"/>
        </w:rPr>
        <w:t>〔施行时间〕</w:t>
      </w:r>
      <w:r>
        <w:rPr>
          <w:rFonts w:hint="eastAsia" w:ascii="仿宋_GB2312" w:eastAsia="仿宋_GB2312" w:cs="仿宋_GB2312"/>
          <w:b w:val="0"/>
          <w:bCs w:val="0"/>
          <w:color w:val="auto"/>
          <w:sz w:val="32"/>
          <w:szCs w:val="32"/>
          <w:highlight w:val="none"/>
          <w:u w:val="none"/>
          <w:lang w:eastAsia="zh-CN"/>
        </w:rPr>
        <w:t>本指引由</w:t>
      </w:r>
      <w:r>
        <w:rPr>
          <w:rFonts w:hint="eastAsia" w:ascii="仿宋_GB2312" w:eastAsia="仿宋_GB2312" w:cs="仿宋_GB2312"/>
          <w:b w:val="0"/>
          <w:bCs w:val="0"/>
          <w:color w:val="auto"/>
          <w:sz w:val="32"/>
          <w:szCs w:val="32"/>
          <w:highlight w:val="none"/>
          <w:u w:val="none"/>
          <w:lang w:val="en-US" w:eastAsia="zh-CN"/>
        </w:rPr>
        <w:t>省科技厅</w:t>
      </w:r>
      <w:r>
        <w:rPr>
          <w:rFonts w:hint="eastAsia" w:ascii="仿宋_GB2312" w:eastAsia="仿宋_GB2312" w:cs="仿宋_GB2312"/>
          <w:b w:val="0"/>
          <w:bCs w:val="0"/>
          <w:color w:val="auto"/>
          <w:sz w:val="32"/>
          <w:szCs w:val="32"/>
          <w:highlight w:val="none"/>
          <w:u w:val="none"/>
          <w:lang w:eastAsia="zh-CN"/>
        </w:rPr>
        <w:t>予以解释，</w:t>
      </w:r>
      <w:r>
        <w:rPr>
          <w:rFonts w:hint="eastAsia" w:ascii="仿宋_GB2312" w:eastAsia="仿宋_GB2312" w:cs="仿宋_GB2312"/>
          <w:b w:val="0"/>
          <w:bCs w:val="0"/>
          <w:color w:val="auto"/>
          <w:sz w:val="32"/>
          <w:szCs w:val="32"/>
          <w:highlight w:val="none"/>
          <w:u w:val="none"/>
          <w:lang w:val="en-US" w:eastAsia="zh-CN"/>
        </w:rPr>
        <w:t>自发布之日起施行，有效期2年，并根据实施情况适时修订调整。</w:t>
      </w:r>
      <w:r>
        <w:rPr>
          <w:rFonts w:hint="eastAsia" w:ascii="仿宋_GB2312" w:eastAsia="仿宋_GB2312" w:cs="仿宋_GB2312"/>
          <w:b w:val="0"/>
          <w:bCs w:val="0"/>
          <w:color w:val="auto"/>
          <w:sz w:val="32"/>
          <w:szCs w:val="32"/>
          <w:highlight w:val="none"/>
          <w:u w:val="none"/>
          <w:lang w:eastAsia="zh-CN"/>
        </w:rPr>
        <w:t>本指引相关规定，如遇国家和省级科技成果转化政策调整的，依据最新政策执行。</w:t>
      </w:r>
    </w:p>
    <w:p w14:paraId="2CE68056">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default" w:ascii="Times New Roman" w:hAnsi="Times New Roman" w:eastAsia="仿宋_GB2312" w:cs="Times New Roman"/>
          <w:i w:val="0"/>
          <w:iCs w:val="0"/>
          <w:caps w:val="0"/>
          <w:color w:val="000000"/>
          <w:spacing w:val="0"/>
          <w:sz w:val="32"/>
          <w:szCs w:val="32"/>
          <w:shd w:val="clear" w:fill="FFFFFF"/>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57BCE9-F893-4DB8-B989-1C7B8991CA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81DF1D8F-806C-4F5B-BB1C-032DFAB54A34}"/>
  </w:font>
  <w:font w:name="方正小标宋简体">
    <w:panose1 w:val="03000509000000000000"/>
    <w:charset w:val="86"/>
    <w:family w:val="script"/>
    <w:pitch w:val="default"/>
    <w:sig w:usb0="00000001" w:usb1="080E0000" w:usb2="00000000" w:usb3="00000000" w:csb0="00040000" w:csb1="00000000"/>
    <w:embedRegular r:id="rId3" w:fontKey="{F0E6B404-947C-47DF-BB00-CE97AFB0230B}"/>
  </w:font>
  <w:font w:name="楷体_GB2312">
    <w:panose1 w:val="02010609030101010101"/>
    <w:charset w:val="86"/>
    <w:family w:val="modern"/>
    <w:pitch w:val="default"/>
    <w:sig w:usb0="00000001" w:usb1="080E0000" w:usb2="00000000" w:usb3="00000000" w:csb0="00040000" w:csb1="00000000"/>
    <w:embedRegular r:id="rId4" w:fontKey="{5391944B-2CEC-435E-8DC8-2D1F9055BE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DF97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6E74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586E74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22B5B"/>
    <w:rsid w:val="055A1F30"/>
    <w:rsid w:val="29247407"/>
    <w:rsid w:val="2DE55AB4"/>
    <w:rsid w:val="3C8F3F97"/>
    <w:rsid w:val="3EE16236"/>
    <w:rsid w:val="4F6A6804"/>
    <w:rsid w:val="6CF42190"/>
    <w:rsid w:val="6F31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line="600" w:lineRule="exact"/>
    </w:pPr>
    <w:rPr>
      <w:szCs w:val="22"/>
    </w:rPr>
  </w:style>
  <w:style w:type="paragraph" w:styleId="3">
    <w:name w:val="footer"/>
    <w:basedOn w:val="1"/>
    <w:qFormat/>
    <w:uiPriority w:val="0"/>
    <w:pPr>
      <w:tabs>
        <w:tab w:val="center" w:pos="4153"/>
        <w:tab w:val="right" w:pos="8306"/>
      </w:tabs>
      <w:snapToGrid w:val="0"/>
      <w:jc w:val="left"/>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4216</Words>
  <Characters>4277</Characters>
  <Lines>0</Lines>
  <Paragraphs>0</Paragraphs>
  <TotalTime>5</TotalTime>
  <ScaleCrop>false</ScaleCrop>
  <LinksUpToDate>false</LinksUpToDate>
  <CharactersWithSpaces>4332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2025-03-10T02:33:00Z</dcterms:created>
  <dc:creator>Administrator</dc:creator>
  <cp:lastModifiedBy>GS</cp:lastModifiedBy>
  <dcterms:modified xsi:type="dcterms:W3CDTF">2025-03-11T09:49:42Z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eyJoZGlkIjoiOWYzNjQwMTQ4NTVkZWRjMjBlOTk1MjFhOWM3NGE0NjMiLCJ1c2VySWQiOiIyOTU3MDI0ODgifQ==</vt:lpwstr>
  </property>
  <property fmtid="{D5CDD505-2E9C-101B-9397-08002B2CF9AE}" pid="4" name="ICV">
    <vt:lpwstr>56317697DE2E4FE6896F5152698EEEEF_13</vt:lpwstr>
  </property>
</Properties>
</file>