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ascii="Times New Roman" w:hAnsi="Times New Roman" w:eastAsia="方正小标宋简体" w:cs="Times New Roman"/>
          <w:bCs/>
          <w:sz w:val="44"/>
          <w:szCs w:val="44"/>
          <w:lang w:val="en-US" w:eastAsia="zh-CN"/>
        </w:rPr>
      </w:pPr>
      <w:r>
        <w:rPr>
          <w:rFonts w:ascii="Times New Roman" w:hAnsi="Times New Roman" w:eastAsia="方正小标宋简体" w:cs="Times New Roman"/>
          <w:bCs/>
          <w:sz w:val="44"/>
          <w:szCs w:val="44"/>
          <w:lang w:val="en-US" w:eastAsia="zh-CN"/>
        </w:rPr>
        <w:t>黑龙江省概念验证中心、中试熟化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 w:val="0"/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bCs/>
          <w:sz w:val="44"/>
          <w:szCs w:val="44"/>
          <w:lang w:val="en-US" w:eastAsia="zh-CN"/>
        </w:rPr>
      </w:pPr>
      <w:r>
        <w:rPr>
          <w:rFonts w:ascii="Times New Roman" w:hAnsi="Times New Roman" w:eastAsia="方正小标宋简体" w:cs="Times New Roman"/>
          <w:bCs/>
          <w:sz w:val="44"/>
          <w:szCs w:val="44"/>
          <w:lang w:val="en-US" w:eastAsia="zh-CN"/>
        </w:rPr>
        <w:t>平台资助实施细则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 w:val="0"/>
        <w:snapToGrid w:val="0"/>
        <w:spacing w:line="560" w:lineRule="exact"/>
        <w:jc w:val="center"/>
        <w:rPr>
          <w:rFonts w:hint="eastAsia" w:ascii="楷体" w:hAnsi="楷体" w:eastAsia="楷体" w:cs="楷体"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Cs/>
          <w:sz w:val="32"/>
          <w:szCs w:val="32"/>
          <w:lang w:val="en-US" w:eastAsia="zh-CN"/>
        </w:rPr>
        <w:t>（征求意见稿）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adjustRightInd w:val="0"/>
        <w:snapToGrid w:val="0"/>
        <w:spacing w:line="560" w:lineRule="exact"/>
        <w:jc w:val="center"/>
        <w:rPr>
          <w:rFonts w:hint="eastAsia" w:ascii="楷体" w:hAnsi="楷体" w:eastAsia="楷体" w:cs="楷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firstLine="640" w:firstLineChars="200"/>
        <w:jc w:val="center"/>
        <w:textAlignment w:val="auto"/>
        <w:rPr>
          <w:rFonts w:hint="eastAsia" w:ascii="黑体" w:eastAsia="黑体" w:cs="黑体"/>
          <w:bCs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bCs/>
          <w:kern w:val="2"/>
          <w:sz w:val="32"/>
          <w:szCs w:val="32"/>
          <w:lang w:val="en-US" w:eastAsia="zh-CN" w:bidi="ar-SA"/>
        </w:rPr>
        <w:t>第一章</w:t>
      </w:r>
      <w:r>
        <w:rPr>
          <w:rFonts w:hint="eastAsia" w:ascii="黑体" w:eastAsia="黑体" w:cs="黑体"/>
          <w:bCs/>
          <w:sz w:val="32"/>
          <w:szCs w:val="32"/>
          <w:lang w:val="en-US" w:eastAsia="zh-CN"/>
        </w:rPr>
        <w:t xml:space="preserve">  总则</w:t>
      </w:r>
    </w:p>
    <w:p>
      <w:pPr>
        <w:pStyle w:val="5"/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楷体" w:eastAsia="楷体" w:cs="楷体"/>
          <w:color w:val="000000"/>
          <w:kern w:val="2"/>
          <w:sz w:val="32"/>
          <w:szCs w:val="32"/>
          <w:lang w:val="en-US" w:eastAsia="zh-CN" w:bidi="ar-SA"/>
        </w:rPr>
        <w:t xml:space="preserve">第一条 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【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制定依据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】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为规范我省概念验证中心和中试熟化平台（以下简称“验证熟化平台”）的绩效考核与资金管理，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根据《新时代龙江创新发展60条》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（黑办发[2023]19号）有关规定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，制定本实施细则。</w:t>
      </w:r>
    </w:p>
    <w:p>
      <w:pPr>
        <w:pStyle w:val="5"/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left="0" w:firstLine="640" w:firstLineChars="200"/>
        <w:jc w:val="both"/>
        <w:textAlignment w:val="auto"/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楷体" w:eastAsia="楷体" w:cs="楷体"/>
          <w:color w:val="000000"/>
          <w:kern w:val="2"/>
          <w:sz w:val="32"/>
          <w:szCs w:val="32"/>
          <w:lang w:val="en-US" w:eastAsia="zh-CN" w:bidi="ar-SA"/>
        </w:rPr>
        <w:t>第二条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【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适用范围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本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细则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适用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经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省科技厅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备案验证熟化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平台的绩效考核与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资助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工作。</w:t>
      </w:r>
    </w:p>
    <w:p>
      <w:pPr>
        <w:pStyle w:val="5"/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lef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楷体" w:eastAsia="楷体" w:cs="楷体"/>
          <w:color w:val="000000"/>
          <w:kern w:val="2"/>
          <w:sz w:val="32"/>
          <w:szCs w:val="32"/>
          <w:lang w:val="en-US" w:eastAsia="zh-CN" w:bidi="ar-SA"/>
        </w:rPr>
        <w:t>第三条</w:t>
      </w: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【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资助原则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省科技厅对符合条件的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验证熟化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平台采取“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绩效评价、择优资助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”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原则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，每年在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科技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专项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资金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中安排经费。</w:t>
      </w:r>
    </w:p>
    <w:p>
      <w:pPr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left="0" w:firstLine="640" w:firstLineChars="200"/>
        <w:jc w:val="center"/>
        <w:textAlignment w:val="auto"/>
        <w:rPr>
          <w:rFonts w:ascii="黑体" w:eastAsia="黑体" w:cs="黑体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ascii="Times New Roman" w:hAnsi="Times New Roman" w:eastAsia="黑体" w:cs="Times New Roman"/>
          <w:b w:val="0"/>
          <w:bCs/>
          <w:color w:val="auto"/>
          <w:kern w:val="2"/>
          <w:sz w:val="32"/>
          <w:szCs w:val="32"/>
          <w:lang w:val="en-US" w:eastAsia="zh-CN" w:bidi="ar-SA"/>
        </w:rPr>
        <w:t>第二章 资助对象与</w:t>
      </w:r>
      <w:r>
        <w:rPr>
          <w:rFonts w:hint="eastAsia" w:ascii="Times New Roman" w:hAnsi="Times New Roman" w:eastAsia="黑体" w:cs="Times New Roman"/>
          <w:b w:val="0"/>
          <w:bCs/>
          <w:color w:val="auto"/>
          <w:kern w:val="2"/>
          <w:sz w:val="32"/>
          <w:szCs w:val="32"/>
          <w:lang w:val="en-US" w:eastAsia="zh-CN" w:bidi="ar-SA"/>
        </w:rPr>
        <w:t>条件</w:t>
      </w:r>
    </w:p>
    <w:p>
      <w:pPr>
        <w:pageBreakBefore w:val="0"/>
        <w:widowControl w:val="0"/>
        <w:kinsoku/>
        <w:wordWrap/>
        <w:overflowPunct/>
        <w:topLinePunct w:val="0"/>
        <w:autoSpaceDE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楷体" w:eastAsia="楷体" w:cs="楷体"/>
          <w:color w:val="000000"/>
          <w:kern w:val="2"/>
          <w:sz w:val="32"/>
          <w:szCs w:val="32"/>
          <w:lang w:val="en-US" w:eastAsia="zh-CN" w:bidi="ar-SA"/>
        </w:rPr>
        <w:t>第四条</w:t>
      </w:r>
      <w:r>
        <w:rPr>
          <w:rFonts w:ascii="黑体" w:eastAsia="黑体" w:cs="黑体"/>
          <w:kern w:val="2"/>
          <w:sz w:val="32"/>
          <w:szCs w:val="32"/>
          <w:lang w:val="en-US" w:eastAsia="zh-CN" w:bidi="ar-SA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  <w:lang w:val="en-US" w:eastAsia="zh-CN"/>
        </w:rPr>
        <w:t>【资助对象</w:t>
      </w:r>
      <w:r>
        <w:rPr>
          <w:rFonts w:ascii="Times New Roman" w:hAnsi="Times New Roman" w:eastAsia="仿宋_GB2312" w:cs="Times New Roman"/>
          <w:sz w:val="32"/>
          <w:szCs w:val="32"/>
          <w:lang w:eastAsia="zh-CN"/>
        </w:rPr>
        <w:t>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按标准经省科技主管部门认定的新建验证熟化平台，根据绩效评价结果，按总投资额的30%择优最高给予1000万元资助。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助对象为新建验证熟化平台的企业，以及利用自有资金新建验证熟化平台的高校、科研院所。经省科技厅备案的验证熟化平台均视为新建验证熟化平台。总投资额计算起始时间为2023年1月1日，同一验证熟化平台只能奖励1次。</w:t>
      </w:r>
    </w:p>
    <w:p>
      <w:pPr>
        <w:pageBreakBefore w:val="0"/>
        <w:widowControl w:val="0"/>
        <w:kinsoku/>
        <w:wordWrap/>
        <w:overflowPunct/>
        <w:topLinePunct w:val="0"/>
        <w:autoSpaceDE/>
        <w:spacing w:line="560" w:lineRule="exact"/>
        <w:ind w:firstLine="640" w:firstLineChars="200"/>
        <w:rPr>
          <w:rFonts w:ascii="Times New Roman" w:hAnsi="Times New Roman" w:eastAsia="楷体" w:cs="Times New Roman"/>
          <w:color w:val="FF0000"/>
          <w:sz w:val="32"/>
          <w:szCs w:val="32"/>
          <w:lang w:val="en-US" w:eastAsia="zh-CN"/>
        </w:rPr>
      </w:pPr>
      <w:r>
        <w:rPr>
          <w:rFonts w:ascii="Times New Roman" w:hAnsi="Times New Roman" w:eastAsia="楷体" w:cs="Times New Roman"/>
          <w:color w:val="000000"/>
          <w:sz w:val="32"/>
          <w:szCs w:val="32"/>
          <w:lang w:val="en-US" w:eastAsia="zh-CN"/>
        </w:rPr>
        <w:t>第五条</w:t>
      </w:r>
      <w:r>
        <w:rPr>
          <w:rFonts w:hint="eastAsia" w:ascii="Times New Roman" w:hAnsi="Times New Roman" w:eastAsia="楷体" w:cs="Times New Roman"/>
          <w:color w:val="000000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【投资额界定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验证熟化平台总投资额包括软件费、设备购置及安装费、网络及系统集成费等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。</w:t>
      </w:r>
    </w:p>
    <w:p>
      <w:pPr>
        <w:pStyle w:val="8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Autospacing="0" w:afterAutospacing="0" w:line="560" w:lineRule="exact"/>
        <w:ind w:firstLine="640" w:firstLineChars="200"/>
        <w:rPr>
          <w:rFonts w:ascii="Times New Roman" w:hAnsi="Times New Roman" w:eastAsia="仿宋_GB2312" w:cs="Times New Roman"/>
          <w:color w:val="000000"/>
          <w:kern w:val="2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2"/>
          <w:sz w:val="32"/>
          <w:szCs w:val="32"/>
        </w:rPr>
        <w:t>第六条</w:t>
      </w: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</w:rPr>
        <w:t>【评价内容】省科技厅制定综合绩效评价指标。对概念验证中心着重评价概念验证成果数量、验证通过的具有创新性和先进性、可转化的科技成果的数量和质量，主要包括研发投入、服务成果数量、服务性收入、技术合同成交额等；对中试平台着重评价中试后实现产业化的科技成果数量和质量、成果落地转化的经济社会效益，主要包括研发投入、服务性收入、中试熟化成果数量、中试产品形成的产值、税收等。对评价结果为“优秀”的验证熟化平台建设单位给予资助。</w:t>
      </w:r>
    </w:p>
    <w:p>
      <w:pPr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left="0" w:firstLine="640" w:firstLineChars="200"/>
        <w:jc w:val="center"/>
        <w:textAlignment w:val="auto"/>
        <w:rPr>
          <w:rFonts w:hint="eastAsia" w:asci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color w:val="000000"/>
          <w:kern w:val="2"/>
          <w:sz w:val="32"/>
          <w:szCs w:val="32"/>
          <w:lang w:val="en-US" w:eastAsia="zh-CN" w:bidi="ar-SA"/>
        </w:rPr>
        <w:t xml:space="preserve">第三章  </w:t>
      </w:r>
      <w:r>
        <w:rPr>
          <w:rFonts w:hint="eastAsia" w:ascii="黑体" w:eastAsia="黑体" w:cs="黑体"/>
          <w:color w:val="000000"/>
          <w:sz w:val="32"/>
          <w:szCs w:val="32"/>
          <w:lang w:val="en-US" w:eastAsia="zh-CN"/>
        </w:rPr>
        <w:t>资金申报与审批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楷体" w:cs="Times New Roman"/>
          <w:color w:val="000000"/>
          <w:sz w:val="32"/>
          <w:szCs w:val="32"/>
          <w:lang w:val="en-US" w:eastAsia="zh-CN"/>
        </w:rPr>
        <w:t>第七条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【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工作程序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资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金申报与审批按以下流程进行。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（一）组织申报。省科技厅发布申报通知，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验证熟化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平台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依托单位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按通知要求组织材料，报送所属市（地）科技主管部门。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（二）初审推荐。市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（地）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科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技主管部门对本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区域内验证熟化平台的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申报材料进行审核、汇总并向省科技厅推荐。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（三）</w:t>
      </w:r>
      <w:bookmarkStart w:id="0" w:name="_GoBack"/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审核公示。省科技厅组织或委托第三方机构对申报材料进行审核评价，评选出拟支持对象。履行厅内会议审议程序后，确定拟支持名单并在省科技厅网站公示5个工作日。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jc w:val="both"/>
        <w:textAlignment w:val="auto"/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（四）资金拨付。公示期满无异议后，省科技会同省财政厅向省政府联合呈报资金请示，经省政府批复后，省财政厅下达资金指标文件，并按程序拨付资金。</w:t>
      </w:r>
    </w:p>
    <w:p>
      <w:pPr>
        <w:pStyle w:val="5"/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left="0" w:firstLine="640" w:firstLineChars="200"/>
        <w:jc w:val="center"/>
        <w:textAlignment w:val="auto"/>
        <w:rPr>
          <w:rFonts w:ascii="Times New Roman" w:hAnsi="Times New Roman" w:eastAsia="黑体" w:cs="Times New Roman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/>
          <w:color w:val="auto"/>
          <w:kern w:val="2"/>
          <w:sz w:val="32"/>
          <w:szCs w:val="32"/>
          <w:lang w:val="en-US" w:eastAsia="zh-CN" w:bidi="ar-SA"/>
        </w:rPr>
        <w:t>第</w:t>
      </w:r>
      <w:r>
        <w:rPr>
          <w:rFonts w:ascii="Times New Roman" w:hAnsi="Times New Roman" w:eastAsia="黑体" w:cs="Times New Roman"/>
          <w:b w:val="0"/>
          <w:bCs/>
          <w:color w:val="auto"/>
          <w:kern w:val="2"/>
          <w:sz w:val="32"/>
          <w:szCs w:val="32"/>
          <w:lang w:val="en-US" w:eastAsia="zh-CN" w:bidi="ar-SA"/>
        </w:rPr>
        <w:t>四</w:t>
      </w:r>
      <w:r>
        <w:rPr>
          <w:rFonts w:hint="eastAsia" w:ascii="Times New Roman" w:hAnsi="Times New Roman" w:eastAsia="黑体" w:cs="Times New Roman"/>
          <w:b w:val="0"/>
          <w:bCs/>
          <w:color w:val="auto"/>
          <w:kern w:val="2"/>
          <w:sz w:val="32"/>
          <w:szCs w:val="32"/>
          <w:lang w:val="en-US" w:eastAsia="zh-CN" w:bidi="ar-SA"/>
        </w:rPr>
        <w:t xml:space="preserve">章 </w:t>
      </w:r>
      <w:r>
        <w:rPr>
          <w:rFonts w:ascii="Times New Roman" w:hAnsi="Times New Roman" w:eastAsia="黑体" w:cs="Times New Roman"/>
          <w:b w:val="0"/>
          <w:bCs/>
          <w:color w:val="auto"/>
          <w:sz w:val="32"/>
          <w:szCs w:val="32"/>
          <w:lang w:val="en-US" w:eastAsia="zh-CN"/>
        </w:rPr>
        <w:t xml:space="preserve"> 资金管理及职责分工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>第</w:t>
      </w:r>
      <w:r>
        <w:rPr>
          <w:rFonts w:ascii="楷体" w:eastAsia="楷体" w:cs="楷体"/>
          <w:color w:val="000000"/>
          <w:sz w:val="32"/>
          <w:szCs w:val="32"/>
          <w:lang w:val="en-US" w:eastAsia="zh-CN"/>
        </w:rPr>
        <w:t>八</w:t>
      </w: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 xml:space="preserve">条 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【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总体布局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】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省科技厅负责组织</w:t>
      </w:r>
      <w:r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  <w:t>验证熟化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平台的</w:t>
      </w:r>
      <w:r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  <w:t>备案和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绩效</w:t>
      </w:r>
      <w:r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  <w:t>评价工作，着重评价科技成果在省内落地转化情况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；</w:t>
      </w:r>
      <w:r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  <w:t>配合省财政厅做好资金拨付等工作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；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履行财会监督责任，加强对政策执行情况和资金使用的监督</w:t>
      </w:r>
      <w:r>
        <w:rPr>
          <w:rFonts w:hint="eastAsia" w:ascii="仿宋_GB2312" w:eastAsia="仿宋_GB2312" w:cs="仿宋_GB2312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/>
        <w:shd w:val="clear" w:color="auto" w:fill="FDFDFE"/>
        <w:kinsoku/>
        <w:wordWrap/>
        <w:overflowPunct/>
        <w:topLinePunct w:val="0"/>
        <w:autoSpaceDE/>
        <w:autoSpaceDN/>
        <w:adjustRightInd/>
        <w:snapToGrid/>
        <w:spacing w:line="560" w:lineRule="exact"/>
        <w:ind w:left="0" w:firstLine="640" w:firstLineChars="200"/>
        <w:rPr>
          <w:rFonts w:hint="eastAsia" w:ascii="仿宋_GB2312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>第</w:t>
      </w:r>
      <w:r>
        <w:rPr>
          <w:rFonts w:ascii="楷体" w:eastAsia="楷体" w:cs="楷体"/>
          <w:color w:val="000000"/>
          <w:sz w:val="32"/>
          <w:szCs w:val="32"/>
          <w:lang w:val="en-US" w:eastAsia="zh-CN"/>
        </w:rPr>
        <w:t>九</w:t>
      </w: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 xml:space="preserve">条 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【资金保障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】</w:t>
      </w:r>
      <w:r>
        <w:rPr>
          <w:rFonts w:hint="eastAsia" w:ascii="仿宋_GB2312" w:eastAsia="仿宋_GB2312" w:cs="仿宋_GB2312"/>
          <w:sz w:val="32"/>
          <w:szCs w:val="32"/>
        </w:rPr>
        <w:t>省财政厅负责统筹做好政策资金保障和分解下达，督促组织做好政策执行情况的财会监督，对发现的问题及时纠偏。</w:t>
      </w:r>
    </w:p>
    <w:p>
      <w:pPr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left="0" w:firstLine="640" w:firstLineChars="200"/>
        <w:textAlignment w:val="auto"/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>第</w:t>
      </w:r>
      <w:r>
        <w:rPr>
          <w:rFonts w:ascii="楷体" w:eastAsia="楷体" w:cs="楷体"/>
          <w:color w:val="000000"/>
          <w:sz w:val="32"/>
          <w:szCs w:val="32"/>
          <w:lang w:val="en-US" w:eastAsia="zh-CN"/>
        </w:rPr>
        <w:t>十</w:t>
      </w: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>条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【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日常管理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】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市（地）科技局负责本区域</w:t>
      </w:r>
      <w:r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  <w:t>内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验证熟化平台的申报推荐；协助省科技厅开展验证熟化平台的绩效考核工作；指导验证熟化平台的建设与运营，协调解决验证熟化平台运行中的问题。</w:t>
      </w:r>
    </w:p>
    <w:p>
      <w:pPr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ind w:firstLine="640" w:firstLineChars="200"/>
        <w:jc w:val="left"/>
        <w:textAlignment w:val="auto"/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>第</w:t>
      </w:r>
      <w:r>
        <w:rPr>
          <w:rFonts w:ascii="楷体" w:eastAsia="楷体" w:cs="楷体"/>
          <w:color w:val="000000"/>
          <w:sz w:val="32"/>
          <w:szCs w:val="32"/>
          <w:lang w:val="en-US" w:eastAsia="zh-CN"/>
        </w:rPr>
        <w:t>十一</w:t>
      </w:r>
      <w:r>
        <w:rPr>
          <w:rFonts w:hint="eastAsia" w:ascii="楷体" w:eastAsia="楷体" w:cs="楷体"/>
          <w:color w:val="000000"/>
          <w:sz w:val="32"/>
          <w:szCs w:val="32"/>
          <w:lang w:val="en-US" w:eastAsia="zh-CN"/>
        </w:rPr>
        <w:t>条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【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建设运营</w:t>
      </w:r>
      <w:r>
        <w:rPr>
          <w:rFonts w:ascii="Times New Roman" w:hAnsi="Times New Roman" w:eastAsia="仿宋_GB2312" w:cs="Times New Roman"/>
          <w:color w:val="000000"/>
          <w:sz w:val="32"/>
          <w:szCs w:val="32"/>
          <w:lang w:eastAsia="zh-CN"/>
        </w:rPr>
        <w:t>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验证熟化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平台依托单位</w:t>
      </w:r>
      <w:r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  <w:t>是奖励资金的使用主体，承担主体责任，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负责验证熟化平台的建设和运营，确保验证熟化平台的高效运行；按照省科技厅的要求，提供绩效考核所需的材料和数据</w:t>
      </w:r>
      <w:r>
        <w:rPr>
          <w:rFonts w:ascii="仿宋_GB2312" w:eastAsia="仿宋_GB2312" w:cs="仿宋_GB2312"/>
          <w:color w:val="000000"/>
          <w:sz w:val="32"/>
          <w:szCs w:val="32"/>
          <w:lang w:val="en-US" w:eastAsia="zh-CN"/>
        </w:rPr>
        <w:t>，对申报数据的真实性负责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>；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加强内部监督，加强对本单位政策执行和资金使用的日常监督</w:t>
      </w:r>
      <w:r>
        <w:rPr>
          <w:rFonts w:hint="eastAsia" w:ascii="仿宋_GB2312" w:eastAsia="仿宋_GB2312" w:cs="仿宋_GB2312"/>
          <w:sz w:val="32"/>
          <w:szCs w:val="32"/>
          <w:highlight w:val="none"/>
          <w:lang w:eastAsia="zh-CN"/>
        </w:rPr>
        <w:t>；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接受省科技厅和市（地）科技局的监督和指导。高校、科研院所获得的奖励资金用于验证熟化平台建设和科技成果转化，不得用于人员福利、公用经费、机构运转经费等支出，不得用于楼堂馆所等基建工程支出，不得支付各种罚款、捐款、赞助、投资、偿还债务等支出，以及国家规定禁止列支的其他支出。 </w:t>
      </w:r>
    </w:p>
    <w:p>
      <w:pPr>
        <w:pageBreakBefore w:val="0"/>
        <w:widowControl w:val="0"/>
        <w:kinsoku/>
        <w:wordWrap/>
        <w:overflowPunct/>
        <w:topLinePunct w:val="0"/>
        <w:autoSpaceDE/>
        <w:bidi w:val="0"/>
        <w:spacing w:line="560" w:lineRule="exact"/>
        <w:jc w:val="center"/>
        <w:textAlignment w:val="auto"/>
        <w:rPr>
          <w:rFonts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-SA"/>
        </w:rPr>
        <w:t>第五章</w:t>
      </w:r>
      <w:r>
        <w:rPr>
          <w:rFonts w:hint="eastAsia"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-SA"/>
        </w:rPr>
        <w:t>监督管理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楷体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  <w:t xml:space="preserve">第十二条 </w:t>
      </w: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  <w:t>申请单位使用虚假材料或其他不正当手段骗取、套取</w:t>
      </w:r>
      <w:r>
        <w:rPr>
          <w:rFonts w:ascii="Times New Roman" w:hAnsi="Times New Roman" w:eastAsia="仿宋_GB2312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  <w:t>平台奖励</w:t>
      </w: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  <w:t>资金的，一经查实，撤销</w:t>
      </w:r>
      <w:r>
        <w:rPr>
          <w:rFonts w:ascii="Times New Roman" w:hAnsi="Times New Roman" w:eastAsia="仿宋_GB2312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  <w:t>奖励</w:t>
      </w: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  <w:t>资格并向社会公开，由省科技厅追回全部财政资金及利息，并按照法律法规和国家、省、市科研诚信有关政策予以处理。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任何单位和个人不得以任何理由截留、挤占或挪用奖励资金。</w:t>
      </w:r>
      <w:r>
        <w:rPr>
          <w:rFonts w:ascii="仿宋_GB2312" w:eastAsia="仿宋_GB2312" w:cs="仿宋_GB2312"/>
          <w:sz w:val="32"/>
          <w:szCs w:val="32"/>
          <w:lang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楷体" w:eastAsia="楷体" w:cs="楷体"/>
          <w:sz w:val="32"/>
          <w:szCs w:val="32"/>
          <w:lang w:eastAsia="zh-CN"/>
        </w:rPr>
        <w:t>第</w:t>
      </w:r>
      <w:r>
        <w:rPr>
          <w:rFonts w:ascii="楷体" w:eastAsia="楷体" w:cs="楷体"/>
          <w:sz w:val="32"/>
          <w:szCs w:val="32"/>
          <w:lang w:eastAsia="zh-CN"/>
        </w:rPr>
        <w:t>十三</w:t>
      </w:r>
      <w:r>
        <w:rPr>
          <w:rFonts w:hint="eastAsia" w:ascii="楷体" w:eastAsia="楷体" w:cs="楷体"/>
          <w:sz w:val="32"/>
          <w:szCs w:val="32"/>
          <w:lang w:eastAsia="zh-CN"/>
        </w:rPr>
        <w:t>条</w:t>
      </w:r>
      <w:r>
        <w:rPr>
          <w:rFonts w:ascii="楷体" w:eastAsia="楷体" w:cs="楷体"/>
          <w:sz w:val="32"/>
          <w:szCs w:val="32"/>
          <w:lang w:eastAsia="zh-CN"/>
        </w:rPr>
        <w:t xml:space="preserve"> </w:t>
      </w:r>
      <w:r>
        <w:rPr>
          <w:rFonts w:hint="eastAsia" w:ascii="仿宋_GB2312" w:eastAsia="仿宋_GB2312" w:cs="仿宋_GB2312"/>
          <w:sz w:val="32"/>
          <w:szCs w:val="32"/>
        </w:rPr>
        <w:t>第三方机构、专家评审要实施全程操作留痕，做到相关操作记录可查询、可追溯，确保评审过程的客观性和规范性，对评审结果负责并承担相应的法律责任。省科技厅要对第三方评审过程进行全程跟踪监督，对专家和第三方机构审核的结果进行复核，确保评审结果的准确性和真实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仿宋_GB2312" w:eastAsia="仿宋_GB2312" w:cs="仿宋_GB2312"/>
          <w:sz w:val="32"/>
          <w:szCs w:val="32"/>
          <w:lang w:eastAsia="zh-CN"/>
        </w:rPr>
      </w:pPr>
      <w:r>
        <w:rPr>
          <w:rFonts w:hint="eastAsia" w:ascii="黑体" w:eastAsia="黑体" w:cs="黑体"/>
          <w:sz w:val="32"/>
          <w:szCs w:val="32"/>
          <w:lang w:eastAsia="zh-CN"/>
        </w:rPr>
        <w:t>第</w:t>
      </w:r>
      <w:r>
        <w:rPr>
          <w:rFonts w:ascii="黑体" w:eastAsia="黑体" w:cs="黑体"/>
          <w:sz w:val="32"/>
          <w:szCs w:val="32"/>
          <w:lang w:eastAsia="zh-CN"/>
        </w:rPr>
        <w:t>六</w:t>
      </w:r>
      <w:r>
        <w:rPr>
          <w:rFonts w:hint="eastAsia" w:ascii="黑体" w:eastAsia="黑体" w:cs="黑体"/>
          <w:sz w:val="32"/>
          <w:szCs w:val="32"/>
          <w:lang w:eastAsia="zh-CN"/>
        </w:rPr>
        <w:t xml:space="preserve">章  </w:t>
      </w:r>
      <w:r>
        <w:rPr>
          <w:rFonts w:ascii="黑体" w:eastAsia="黑体" w:cs="黑体"/>
          <w:sz w:val="32"/>
          <w:szCs w:val="32"/>
          <w:lang w:eastAsia="zh-CN"/>
        </w:rPr>
        <w:t>绩效管理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楷体" w:eastAsia="楷体" w:cs="楷体"/>
          <w:sz w:val="32"/>
          <w:szCs w:val="32"/>
          <w:lang w:eastAsia="zh-CN"/>
        </w:rPr>
        <w:t>第</w:t>
      </w:r>
      <w:r>
        <w:rPr>
          <w:rFonts w:ascii="楷体" w:eastAsia="楷体" w:cs="楷体"/>
          <w:sz w:val="32"/>
          <w:szCs w:val="32"/>
          <w:lang w:eastAsia="zh-CN"/>
        </w:rPr>
        <w:t>十</w:t>
      </w:r>
      <w:r>
        <w:rPr>
          <w:rFonts w:hint="eastAsia" w:ascii="楷体" w:eastAsia="楷体" w:cs="楷体"/>
          <w:sz w:val="32"/>
          <w:szCs w:val="32"/>
          <w:lang w:eastAsia="zh-CN"/>
        </w:rPr>
        <w:t>四条</w:t>
      </w:r>
      <w:r>
        <w:rPr>
          <w:rFonts w:ascii="楷体" w:eastAsia="楷体" w:cs="楷体"/>
          <w:sz w:val="32"/>
          <w:szCs w:val="32"/>
          <w:lang w:eastAsia="zh-CN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  <w:highlight w:val="none"/>
          <w:lang w:eastAsia="zh-CN"/>
        </w:rPr>
        <w:t>省财政厅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负责督促指导省科技厅开展预算绩效管理工作。省科技厅负责全过程绩效管理，组织开展政策资金绩效目标管理、绩效运行监控、部门绩效评价等绩效管理工作。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楷体" w:eastAsia="楷体" w:cs="楷体"/>
          <w:sz w:val="32"/>
          <w:szCs w:val="32"/>
          <w:lang w:eastAsia="zh-CN"/>
        </w:rPr>
        <w:t>第</w:t>
      </w:r>
      <w:r>
        <w:rPr>
          <w:rFonts w:ascii="楷体" w:eastAsia="楷体" w:cs="楷体"/>
          <w:sz w:val="32"/>
          <w:szCs w:val="32"/>
          <w:lang w:eastAsia="zh-CN"/>
        </w:rPr>
        <w:t>十</w:t>
      </w:r>
      <w:r>
        <w:rPr>
          <w:rFonts w:hint="eastAsia" w:ascii="楷体" w:eastAsia="楷体" w:cs="楷体"/>
          <w:sz w:val="32"/>
          <w:szCs w:val="32"/>
          <w:lang w:eastAsia="zh-CN"/>
        </w:rPr>
        <w:t>五条</w:t>
      </w:r>
      <w:r>
        <w:rPr>
          <w:rFonts w:ascii="楷体" w:eastAsia="楷体" w:cs="楷体"/>
          <w:sz w:val="32"/>
          <w:szCs w:val="32"/>
          <w:lang w:eastAsia="zh-CN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  <w:highlight w:val="none"/>
          <w:lang w:eastAsia="zh-CN"/>
        </w:rPr>
        <w:t>加强事前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绩效目标管理。省科技厅根据政策目标和行业领域发展导向，组织设定可量化、可衡量、可定性并且符合行业特点以及具备产出效果的绩效目标，作为纳入预算的前置要件。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楷体" w:eastAsia="楷体" w:cs="楷体"/>
          <w:sz w:val="32"/>
          <w:szCs w:val="32"/>
          <w:lang w:eastAsia="zh-CN"/>
        </w:rPr>
        <w:t>第</w:t>
      </w:r>
      <w:r>
        <w:rPr>
          <w:rFonts w:ascii="楷体" w:eastAsia="楷体" w:cs="楷体"/>
          <w:sz w:val="32"/>
          <w:szCs w:val="32"/>
          <w:lang w:eastAsia="zh-CN"/>
        </w:rPr>
        <w:t>十</w:t>
      </w:r>
      <w:r>
        <w:rPr>
          <w:rFonts w:hint="eastAsia" w:ascii="楷体" w:eastAsia="楷体" w:cs="楷体"/>
          <w:sz w:val="32"/>
          <w:szCs w:val="32"/>
          <w:lang w:eastAsia="zh-CN"/>
        </w:rPr>
        <w:t>六条</w:t>
      </w:r>
      <w:r>
        <w:rPr>
          <w:rFonts w:ascii="楷体" w:eastAsia="楷体" w:cs="楷体"/>
          <w:sz w:val="32"/>
          <w:szCs w:val="32"/>
          <w:lang w:eastAsia="zh-CN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  <w:highlight w:val="none"/>
          <w:lang w:eastAsia="zh-CN"/>
        </w:rPr>
        <w:t>加强事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中绩效运行监控。省科技厅在政策实施过程中，组织开展绩效目标实现程度和预算执行进度“双监控”，对监控中发现政策导向偏离绩效目标及管理漏洞，及时纠正偏差。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楷体" w:eastAsia="楷体" w:cs="楷体"/>
          <w:sz w:val="32"/>
          <w:szCs w:val="32"/>
          <w:lang w:eastAsia="zh-CN"/>
        </w:rPr>
        <w:t>第十七条</w:t>
      </w:r>
      <w:r>
        <w:rPr>
          <w:rFonts w:ascii="楷体" w:eastAsia="楷体" w:cs="楷体"/>
          <w:sz w:val="32"/>
          <w:szCs w:val="32"/>
          <w:lang w:eastAsia="zh-CN"/>
        </w:rPr>
        <w:t xml:space="preserve">  </w:t>
      </w:r>
      <w:r>
        <w:rPr>
          <w:rFonts w:hint="eastAsia" w:ascii="仿宋_GB2312" w:eastAsia="仿宋_GB2312" w:cs="仿宋_GB2312"/>
          <w:sz w:val="32"/>
          <w:szCs w:val="32"/>
          <w:highlight w:val="none"/>
          <w:lang w:eastAsia="zh-CN"/>
        </w:rPr>
        <w:t>加强事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后绩效评价。省科技厅负责对照绩效目标做好事后绩效评价工作，聚焦注重投入产出效益，对政策实施效果和资金使用情况开展“双评价”，提升绩效评价质量和实效。健全评价指标体系，将包括但不限于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成果</w:t>
      </w:r>
      <w:r>
        <w:rPr>
          <w:rFonts w:ascii="Times New Roman" w:hAnsi="Times New Roman" w:eastAsia="仿宋_GB2312" w:cs="Times New Roman"/>
          <w:color w:val="000000"/>
          <w:kern w:val="2"/>
          <w:sz w:val="32"/>
          <w:szCs w:val="32"/>
        </w:rPr>
        <w:t>转化数量</w:t>
      </w:r>
      <w:r>
        <w:rPr>
          <w:rFonts w:ascii="仿宋_GB2312" w:eastAsia="仿宋_GB2312" w:cs="仿宋_GB2312"/>
          <w:sz w:val="32"/>
          <w:szCs w:val="32"/>
          <w:highlight w:val="none"/>
          <w:lang w:eastAsia="zh-CN"/>
        </w:rPr>
        <w:t>等个性化指标作为产出效益评价重点。加强绩效评价结果应用，将评价结果作为政策调整、预算安排和资金分配的重要依据，对于产出效益未达预期的，对政策延续实施的必要性开展评估，根据评估结果提出应用措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-SA"/>
        </w:rPr>
        <w:t>第七章  附  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" w:cs="Times New Roman"/>
          <w:color w:val="auto"/>
          <w:sz w:val="32"/>
          <w:szCs w:val="32"/>
          <w:lang w:val="en-US" w:eastAsia="zh-CN"/>
        </w:rPr>
        <w:t>第</w:t>
      </w:r>
      <w:r>
        <w:rPr>
          <w:rFonts w:ascii="Times New Roman" w:hAnsi="Times New Roman" w:eastAsia="楷体" w:cs="Times New Roman"/>
          <w:color w:val="auto"/>
          <w:sz w:val="32"/>
          <w:szCs w:val="32"/>
          <w:lang w:val="en-US" w:eastAsia="zh-CN"/>
        </w:rPr>
        <w:t>十</w:t>
      </w:r>
      <w:r>
        <w:rPr>
          <w:rFonts w:hint="eastAsia" w:ascii="Times New Roman" w:hAnsi="Times New Roman" w:eastAsia="楷体" w:cs="Times New Roman"/>
          <w:color w:val="auto"/>
          <w:sz w:val="32"/>
          <w:szCs w:val="32"/>
          <w:lang w:val="en-US" w:eastAsia="zh-CN"/>
        </w:rPr>
        <w:t>八条</w:t>
      </w:r>
      <w:r>
        <w:rPr>
          <w:rFonts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本办法由省科技厅会同省财政厅负责解释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" w:cs="Times New Roman"/>
          <w:color w:val="auto"/>
          <w:sz w:val="32"/>
          <w:szCs w:val="32"/>
          <w:lang w:val="en-US" w:eastAsia="zh-CN"/>
        </w:rPr>
        <w:t>第十九条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本办法自印发之日起施行，执行期与《新时代龙江创新发展60条》保持一致，并根据实施情况定期修订。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"/>
        </w:rPr>
        <w:t>按照“从优、就高、不重复”原则，同一年度、同一事项，已获得财政支持对象不予重复支持。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both"/>
        <w:textAlignment w:val="auto"/>
        <w:rPr>
          <w:rFonts w:ascii="仿宋_GB2312" w:eastAsia="仿宋_GB2312" w:cs="仿宋_GB2312"/>
          <w:bCs/>
          <w:color w:val="0000FF"/>
          <w:sz w:val="32"/>
          <w:szCs w:val="32"/>
          <w:lang w:val="en-US" w:eastAsia="zh-CN"/>
        </w:rPr>
      </w:pP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兰亭黑_GBK">
    <w:panose1 w:val="02000000000000000000"/>
    <w:charset w:val="86"/>
    <w:family w:val="script"/>
    <w:pitch w:val="default"/>
    <w:sig w:usb0="A00002BF" w:usb1="3ACF7CFA" w:usb2="0008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  <w:r>
      <w:rPr>
        <w:rStyle w:val="12"/>
      </w:rPr>
      <w:fldChar w:fldCharType="begin"/>
    </w:r>
    <w:r>
      <w:rPr>
        <w:rStyle w:val="12"/>
      </w:rPr>
      <w:instrText xml:space="preserve">Page</w:instrText>
    </w:r>
    <w:r>
      <w:rPr>
        <w:rStyle w:val="12"/>
      </w:rPr>
      <w:fldChar w:fldCharType="separate"/>
    </w:r>
    <w:r>
      <w:rPr>
        <w:rStyle w:val="12"/>
      </w:rPr>
      <w:t>1</w:t>
    </w:r>
    <w:r>
      <w:rPr>
        <w:rStyle w:val="12"/>
      </w:rPr>
      <w:fldChar w:fldCharType="end"/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  <w:r>
      <w:rPr>
        <w:rStyle w:val="12"/>
      </w:rPr>
      <w:fldChar w:fldCharType="begin"/>
    </w:r>
    <w:r>
      <w:rPr>
        <w:rStyle w:val="12"/>
      </w:rPr>
      <w:instrText xml:space="preserve">Page</w:instrText>
    </w:r>
    <w:r>
      <w:rPr>
        <w:rStyle w:val="12"/>
      </w:rPr>
      <w:fldChar w:fldCharType="separate"/>
    </w:r>
    <w:r>
      <w:rPr>
        <w:rStyle w:val="12"/>
      </w:rPr>
      <w:t>1</w:t>
    </w:r>
    <w:r>
      <w:rPr>
        <w:rStyle w:val="12"/>
      </w:rP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trackRevisions w:val="1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compatSetting w:name="compatibilityMode" w:uri="http://schemas.microsoft.com/office/word" w:val="14"/>
  </w:compat>
  <w:rsids>
    <w:rsidRoot w:val="00000000"/>
    <w:rsid w:val="24647F27"/>
    <w:rsid w:val="24C5793A"/>
    <w:rsid w:val="2F963535"/>
    <w:rsid w:val="37FD4E78"/>
    <w:rsid w:val="38C304E8"/>
    <w:rsid w:val="3BC84FFE"/>
    <w:rsid w:val="3DC90FEC"/>
    <w:rsid w:val="3F259BD1"/>
    <w:rsid w:val="501352A6"/>
    <w:rsid w:val="60DD243E"/>
    <w:rsid w:val="625E7D1C"/>
    <w:rsid w:val="65B02C34"/>
    <w:rsid w:val="6BBCBB3F"/>
    <w:rsid w:val="7BFF5DB7"/>
    <w:rsid w:val="7C6E1C2E"/>
    <w:rsid w:val="7FDE2851"/>
    <w:rsid w:val="7FFBF5E8"/>
    <w:rsid w:val="8ABF17F6"/>
    <w:rsid w:val="BFB556EF"/>
    <w:rsid w:val="E3DF3734"/>
    <w:rsid w:val="EDDDA87D"/>
    <w:rsid w:val="EF6EB72C"/>
    <w:rsid w:val="F5E64932"/>
    <w:rsid w:val="FDFF9E8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方正兰亭黑_GBK" w:hAnsi="方正兰亭黑_GBK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200" w:firstLineChars="200"/>
    </w:pPr>
    <w:rPr>
      <w:rFonts w:cs="Times New Roman"/>
      <w:color w:val="FF000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7"/>
      </w:tabs>
      <w:snapToGrid w:val="0"/>
      <w:jc w:val="center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11">
    <w:name w:val="Strong"/>
    <w:qFormat/>
    <w:uiPriority w:val="0"/>
    <w:rPr>
      <w:b/>
      <w:bCs/>
    </w:rPr>
  </w:style>
  <w:style w:type="character" w:styleId="12">
    <w:name w:val="page number"/>
    <w:basedOn w:val="10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5</Pages>
  <Words>2305</Words>
  <Characters>2322</Characters>
  <Lines>112</Lines>
  <Paragraphs>33</Paragraphs>
  <TotalTime>108</TotalTime>
  <ScaleCrop>false</ScaleCrop>
  <LinksUpToDate>false</LinksUpToDate>
  <CharactersWithSpaces>2363</CharactersWithSpaces>
  <Application>WPS Office_11.8.2.9339_F1E327BC-269C-435d-A152-05C5408002CA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2025-02-22T09:21:00Z</dcterms:created>
  <dc:creator>杜微</dc:creator>
  <cp:lastModifiedBy>greatwall</cp:lastModifiedBy>
  <cp:lastPrinted>2025-03-14T05:30:00Z</cp:lastPrinted>
  <dcterms:modified xsi:type="dcterms:W3CDTF">2025-03-28T10:43:33Z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  <property fmtid="{D5CDD505-2E9C-101B-9397-08002B2CF9AE}" pid="3" name="ICV">
    <vt:lpwstr>B2972D2877AF6A18C150DF67FD86687F</vt:lpwstr>
  </property>
  <property fmtid="{D5CDD505-2E9C-101B-9397-08002B2CF9AE}" pid="4" name="KSOTemplateDocerSaveRecord">
    <vt:lpwstr>eyJoZGlkIjoiYTdjZGNhOGMxYmIyYmQ0YzgyYWQzNDY5ZTkxNDEwMjQiLCJ1c2VySWQiOiIyMjYyOTIzMTQifQ==</vt:lpwstr>
  </property>
</Properties>
</file>