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E6530F">
      <w:pPr>
        <w:pStyle w:val="5"/>
        <w:keepNext w:val="0"/>
        <w:keepLines w:val="0"/>
        <w:pageBreakBefore w:val="0"/>
        <w:widowControl/>
        <w:kinsoku/>
        <w:wordWrap/>
        <w:overflowPunct/>
        <w:topLinePunct w:val="0"/>
        <w:autoSpaceDE/>
        <w:autoSpaceDN/>
        <w:bidi w:val="0"/>
        <w:adjustRightInd/>
        <w:snapToGrid/>
        <w:spacing w:line="560" w:lineRule="exact"/>
        <w:jc w:val="both"/>
        <w:rPr>
          <w:rStyle w:val="9"/>
          <w:rFonts w:ascii="黑体" w:eastAsia="黑体" w:cs="黑体"/>
          <w:b w:val="0"/>
          <w:color w:val="auto"/>
          <w:sz w:val="32"/>
          <w:szCs w:val="32"/>
          <w:shd w:val="clear" w:color="auto" w:fill="FFFFFF"/>
          <w:lang w:val="en-US"/>
        </w:rPr>
      </w:pPr>
      <w:bookmarkStart w:id="0" w:name="_GoBack"/>
      <w:bookmarkEnd w:id="0"/>
      <w:r>
        <w:rPr>
          <w:rStyle w:val="9"/>
          <w:rFonts w:hint="eastAsia" w:ascii="黑体" w:eastAsia="黑体" w:cs="黑体"/>
          <w:b w:val="0"/>
          <w:color w:val="auto"/>
          <w:sz w:val="32"/>
          <w:szCs w:val="32"/>
          <w:shd w:val="clear" w:color="auto" w:fill="FFFFFF"/>
          <w:lang w:val="en-US"/>
        </w:rPr>
        <w:t>附件3</w:t>
      </w:r>
    </w:p>
    <w:p w14:paraId="1A3DCD94">
      <w:pPr>
        <w:pStyle w:val="5"/>
        <w:keepNext w:val="0"/>
        <w:keepLines w:val="0"/>
        <w:pageBreakBefore w:val="0"/>
        <w:widowControl/>
        <w:kinsoku/>
        <w:wordWrap/>
        <w:overflowPunct/>
        <w:topLinePunct w:val="0"/>
        <w:autoSpaceDE/>
        <w:autoSpaceDN/>
        <w:bidi w:val="0"/>
        <w:adjustRightInd/>
        <w:snapToGrid/>
        <w:spacing w:line="560" w:lineRule="exact"/>
        <w:jc w:val="center"/>
        <w:rPr>
          <w:rFonts w:hint="eastAsia" w:ascii="Times New Roman" w:hAnsi="Times New Roman" w:eastAsia="方正小标宋简体" w:cs="Arial"/>
          <w:color w:val="auto"/>
          <w:kern w:val="2"/>
          <w:sz w:val="44"/>
          <w:szCs w:val="44"/>
          <w:lang w:val="en-US" w:eastAsia="zh-CN" w:bidi="ar-SA"/>
        </w:rPr>
      </w:pPr>
    </w:p>
    <w:p w14:paraId="6E20717C">
      <w:pPr>
        <w:pStyle w:val="5"/>
        <w:keepNext w:val="0"/>
        <w:keepLines w:val="0"/>
        <w:pageBreakBefore w:val="0"/>
        <w:widowControl/>
        <w:kinsoku/>
        <w:wordWrap/>
        <w:overflowPunct/>
        <w:topLinePunct w:val="0"/>
        <w:autoSpaceDE/>
        <w:autoSpaceDN/>
        <w:bidi w:val="0"/>
        <w:adjustRightInd/>
        <w:snapToGrid/>
        <w:spacing w:line="560" w:lineRule="exact"/>
        <w:jc w:val="center"/>
        <w:rPr>
          <w:rFonts w:ascii="Times New Roman" w:hAnsi="Times New Roman" w:eastAsia="方正小标宋简体" w:cs="Arial"/>
          <w:color w:val="auto"/>
          <w:kern w:val="2"/>
          <w:sz w:val="44"/>
          <w:szCs w:val="44"/>
          <w:lang w:val="en-US" w:eastAsia="zh-CN" w:bidi="ar-SA"/>
        </w:rPr>
      </w:pPr>
      <w:r>
        <w:rPr>
          <w:rFonts w:hint="eastAsia" w:ascii="Times New Roman" w:hAnsi="Times New Roman" w:eastAsia="方正小标宋简体" w:cs="Arial"/>
          <w:color w:val="auto"/>
          <w:kern w:val="2"/>
          <w:sz w:val="44"/>
          <w:szCs w:val="44"/>
          <w:lang w:val="en-US" w:eastAsia="zh-CN" w:bidi="ar-SA"/>
        </w:rPr>
        <w:t>黑龙江省技术转移机构奖励细则</w:t>
      </w:r>
    </w:p>
    <w:p w14:paraId="23270998">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ascii="仿宋_GB2312" w:eastAsia="仿宋_GB2312" w:cs="Arial"/>
          <w:bCs/>
          <w:color w:val="auto"/>
          <w:sz w:val="32"/>
          <w:szCs w:val="32"/>
        </w:rPr>
      </w:pPr>
    </w:p>
    <w:p w14:paraId="2C64EE46">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黑体" w:eastAsia="黑体" w:cs="黑体"/>
          <w:bCs/>
          <w:color w:val="auto"/>
          <w:sz w:val="32"/>
          <w:szCs w:val="32"/>
          <w:lang w:val="en-US" w:eastAsia="zh-CN"/>
        </w:rPr>
      </w:pPr>
      <w:r>
        <w:rPr>
          <w:rFonts w:hint="eastAsia" w:ascii="黑体" w:eastAsia="黑体" w:cs="黑体"/>
          <w:bCs/>
          <w:color w:val="auto"/>
          <w:sz w:val="32"/>
          <w:szCs w:val="32"/>
          <w:lang w:val="en-US" w:eastAsia="zh-CN"/>
        </w:rPr>
        <w:t>一、支持对象</w:t>
      </w:r>
    </w:p>
    <w:p w14:paraId="036EDFC8">
      <w:pPr>
        <w:keepNext w:val="0"/>
        <w:keepLines w:val="0"/>
        <w:pageBreakBefore w:val="0"/>
        <w:widowControl/>
        <w:suppressLineNumbers w:val="0"/>
        <w:kinsoku/>
        <w:wordWrap/>
        <w:overflowPunct/>
        <w:topLinePunct w:val="0"/>
        <w:autoSpaceDE/>
        <w:autoSpaceDN/>
        <w:bidi w:val="0"/>
        <w:adjustRightInd/>
        <w:spacing w:line="560" w:lineRule="exact"/>
        <w:ind w:firstLine="620" w:firstLineChars="200"/>
        <w:jc w:val="left"/>
        <w:rPr>
          <w:rFonts w:hint="eastAsia" w:ascii="黑体" w:eastAsia="黑体" w:cs="黑体"/>
          <w:bCs/>
          <w:sz w:val="32"/>
          <w:szCs w:val="32"/>
          <w:lang w:val="en-US" w:eastAsia="zh-CN"/>
        </w:rPr>
      </w:pPr>
      <w:r>
        <w:rPr>
          <w:rFonts w:ascii="仿宋_GB2312" w:hAnsi="仿宋_GB2312" w:eastAsia="仿宋_GB2312" w:cs="仿宋_GB2312"/>
          <w:color w:val="000000"/>
          <w:kern w:val="0"/>
          <w:sz w:val="31"/>
          <w:szCs w:val="31"/>
          <w:lang w:val="en-US" w:eastAsia="zh-CN" w:bidi="ar"/>
        </w:rPr>
        <w:t>以技术交易服务为主营业务的市场化技术转移机构</w:t>
      </w:r>
      <w:r>
        <w:rPr>
          <w:rFonts w:hint="eastAsia" w:ascii="仿宋_GB2312" w:hAnsi="仿宋_GB2312" w:eastAsia="仿宋_GB2312" w:cs="仿宋_GB2312"/>
          <w:color w:val="000000"/>
          <w:kern w:val="0"/>
          <w:sz w:val="31"/>
          <w:szCs w:val="31"/>
          <w:lang w:val="en-US" w:eastAsia="zh-CN" w:bidi="ar"/>
        </w:rPr>
        <w:t>（企业）。</w:t>
      </w:r>
    </w:p>
    <w:p w14:paraId="6D0B28C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cs="Arial"/>
          <w:bCs/>
          <w:color w:val="auto"/>
          <w:sz w:val="32"/>
          <w:szCs w:val="32"/>
        </w:rPr>
      </w:pPr>
      <w:r>
        <w:rPr>
          <w:rFonts w:hint="eastAsia" w:ascii="黑体" w:eastAsia="黑体" w:cs="黑体"/>
          <w:bCs/>
          <w:sz w:val="32"/>
          <w:szCs w:val="32"/>
          <w:lang w:val="en-US" w:eastAsia="zh-CN"/>
        </w:rPr>
        <w:t>二、支持条件</w:t>
      </w:r>
    </w:p>
    <w:p w14:paraId="0B67B7B2">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s="Arial"/>
          <w:color w:val="auto"/>
          <w:kern w:val="2"/>
          <w:sz w:val="32"/>
          <w:szCs w:val="32"/>
          <w:lang w:val="en-US" w:eastAsia="zh-CN" w:bidi="ar-SA"/>
        </w:rPr>
      </w:pPr>
      <w:r>
        <w:rPr>
          <w:rFonts w:hint="eastAsia" w:ascii="Times New Roman" w:hAnsi="Times New Roman" w:eastAsia="仿宋_GB2312" w:cs="Arial"/>
          <w:color w:val="auto"/>
          <w:kern w:val="2"/>
          <w:sz w:val="32"/>
          <w:szCs w:val="32"/>
          <w:lang w:val="en-US" w:eastAsia="zh-CN" w:bidi="ar-SA"/>
        </w:rPr>
        <w:t>（一）技术转移机构是经国家火炬中心认定或经省科技厅备案的省级以上技术转移机构。</w:t>
      </w:r>
    </w:p>
    <w:p w14:paraId="19DC86D4">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（二）具有独立法人资格、独立办公场所、固定从业人员且以技术转移为主营业务的转移机构</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企业）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已履行年度报告填报义务，无不良信用记录等情况。</w:t>
      </w:r>
    </w:p>
    <w:p w14:paraId="47D61A58">
      <w:pPr>
        <w:keepNext w:val="0"/>
        <w:keepLines w:val="0"/>
        <w:pageBreakBefore w:val="0"/>
        <w:widowControl w:val="0"/>
        <w:kinsoku/>
        <w:wordWrap/>
        <w:overflowPunct/>
        <w:topLinePunct w:val="0"/>
        <w:autoSpaceDE/>
        <w:autoSpaceDN/>
        <w:bidi w:val="0"/>
        <w:adjustRightInd/>
        <w:snapToGrid/>
        <w:spacing w:line="560" w:lineRule="exact"/>
        <w:ind w:firstLine="640" w:firstLineChars="200"/>
      </w:pPr>
      <w:r>
        <w:rPr>
          <w:rFonts w:hint="eastAsia" w:ascii="Times New Roman" w:hAnsi="Times New Roman" w:eastAsia="仿宋_GB2312"/>
          <w:sz w:val="32"/>
          <w:szCs w:val="32"/>
        </w:rPr>
        <w:t>（</w:t>
      </w:r>
      <w:r>
        <w:rPr>
          <w:rFonts w:ascii="Times New Roman" w:hAnsi="Times New Roman" w:eastAsia="仿宋_GB2312"/>
          <w:sz w:val="32"/>
          <w:szCs w:val="32"/>
        </w:rPr>
        <w:t>三</w:t>
      </w:r>
      <w:r>
        <w:rPr>
          <w:rFonts w:hint="eastAsia" w:ascii="Times New Roman" w:hAnsi="Times New Roman" w:eastAsia="仿宋_GB2312"/>
          <w:sz w:val="32"/>
          <w:szCs w:val="32"/>
        </w:rPr>
        <w:t>）</w:t>
      </w:r>
      <w:r>
        <w:rPr>
          <w:rFonts w:ascii="Times New Roman" w:hAnsi="Times New Roman" w:eastAsia="仿宋_GB2312"/>
          <w:sz w:val="32"/>
          <w:szCs w:val="32"/>
        </w:rPr>
        <w:t>转移机构应为促成技术合同省内落地的第三方机构，不得为</w:t>
      </w:r>
      <w:r>
        <w:rPr>
          <w:rFonts w:hint="eastAsia" w:ascii="Times New Roman" w:hAnsi="Times New Roman" w:eastAsia="仿宋_GB2312"/>
          <w:sz w:val="32"/>
          <w:szCs w:val="32"/>
          <w:lang w:eastAsia="zh-CN"/>
        </w:rPr>
        <w:t>技术合同的</w:t>
      </w:r>
      <w:r>
        <w:rPr>
          <w:rFonts w:ascii="Times New Roman" w:hAnsi="Times New Roman" w:eastAsia="仿宋_GB2312"/>
          <w:sz w:val="32"/>
          <w:szCs w:val="32"/>
        </w:rPr>
        <w:t>买方或者卖方，依托高校院所备案且具有独立法人资格的技术转移机构除外。</w:t>
      </w:r>
    </w:p>
    <w:p w14:paraId="6E7BE58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eastAsia="黑体" w:cs="黑体"/>
          <w:bCs/>
          <w:sz w:val="32"/>
          <w:szCs w:val="32"/>
          <w:lang w:val="en-US" w:eastAsia="zh-CN"/>
        </w:rPr>
      </w:pPr>
      <w:r>
        <w:rPr>
          <w:rFonts w:hint="eastAsia" w:ascii="Times New Roman" w:hAnsi="Times New Roman" w:eastAsia="仿宋_GB2312"/>
          <w:sz w:val="32"/>
          <w:szCs w:val="32"/>
        </w:rPr>
        <w:t>（四）转移机构应与成果卖方（或买方）签订委托服务合同，且促成省内落地的技术合同完成在“全国技术合同网上登记系统”的认定登记。</w:t>
      </w:r>
    </w:p>
    <w:p w14:paraId="2C6228A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eastAsia="黑体" w:cs="黑体"/>
          <w:bCs/>
          <w:sz w:val="32"/>
          <w:szCs w:val="32"/>
          <w:lang w:val="en-US" w:eastAsia="zh-CN"/>
        </w:rPr>
      </w:pPr>
      <w:r>
        <w:rPr>
          <w:rFonts w:hint="eastAsia" w:ascii="黑体" w:eastAsia="黑体" w:cs="黑体"/>
          <w:bCs/>
          <w:sz w:val="32"/>
          <w:szCs w:val="32"/>
          <w:lang w:val="en-US" w:eastAsia="zh-CN"/>
        </w:rPr>
        <w:t>三、支持方式与标准</w:t>
      </w:r>
    </w:p>
    <w:p w14:paraId="77724BFF">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000000"/>
          <w:kern w:val="0"/>
          <w:sz w:val="32"/>
          <w:szCs w:val="32"/>
          <w:lang w:val="en-US" w:eastAsia="zh-CN"/>
        </w:rPr>
        <w:t>技术转移机构奖励采取绩效后补助方式。</w:t>
      </w:r>
      <w:r>
        <w:rPr>
          <w:rFonts w:hint="eastAsia" w:ascii="仿宋_GB2312" w:hAnsi="仿宋_GB2312" w:eastAsia="仿宋_GB2312" w:cs="仿宋_GB2312"/>
          <w:color w:val="auto"/>
          <w:kern w:val="2"/>
          <w:sz w:val="32"/>
          <w:szCs w:val="32"/>
          <w:lang w:val="en-US" w:eastAsia="zh-CN" w:bidi="ar-SA"/>
        </w:rPr>
        <w:t>省科技厅负责制定包括</w:t>
      </w:r>
      <w:r>
        <w:rPr>
          <w:rFonts w:hint="eastAsia" w:ascii="仿宋_GB2312" w:hAnsi="仿宋_GB2312" w:eastAsia="仿宋_GB2312" w:cs="仿宋_GB2312"/>
          <w:sz w:val="32"/>
          <w:szCs w:val="32"/>
        </w:rPr>
        <w:t>基础条件</w:t>
      </w:r>
      <w:r>
        <w:rPr>
          <w:rFonts w:hint="eastAsia" w:ascii="仿宋_GB2312" w:hAnsi="仿宋_GB2312" w:eastAsia="仿宋_GB2312" w:cs="仿宋_GB2312"/>
          <w:sz w:val="32"/>
          <w:szCs w:val="32"/>
          <w:lang w:eastAsia="zh-CN"/>
        </w:rPr>
        <w:t>配套水平</w:t>
      </w:r>
      <w:r>
        <w:rPr>
          <w:rFonts w:hint="eastAsia" w:ascii="仿宋_GB2312" w:hAnsi="仿宋_GB2312" w:eastAsia="仿宋_GB2312" w:cs="仿宋_GB2312"/>
          <w:sz w:val="32"/>
          <w:szCs w:val="32"/>
        </w:rPr>
        <w:t>、技术</w:t>
      </w:r>
      <w:r>
        <w:rPr>
          <w:rFonts w:hint="eastAsia" w:ascii="仿宋_GB2312" w:hAnsi="仿宋_GB2312" w:eastAsia="仿宋_GB2312" w:cs="仿宋_GB2312"/>
          <w:sz w:val="32"/>
          <w:szCs w:val="32"/>
          <w:lang w:eastAsia="zh-CN"/>
        </w:rPr>
        <w:t>交易数量及成交额</w:t>
      </w:r>
      <w:r>
        <w:rPr>
          <w:rFonts w:hint="eastAsia" w:ascii="仿宋_GB2312" w:hAnsi="仿宋_GB2312" w:eastAsia="仿宋_GB2312" w:cs="仿宋_GB2312"/>
          <w:sz w:val="32"/>
          <w:szCs w:val="32"/>
        </w:rPr>
        <w:t>、促成成果落地转化</w:t>
      </w:r>
      <w:r>
        <w:rPr>
          <w:rFonts w:hint="eastAsia" w:ascii="仿宋_GB2312" w:hAnsi="仿宋_GB2312" w:eastAsia="仿宋_GB2312" w:cs="仿宋_GB2312"/>
          <w:sz w:val="32"/>
          <w:szCs w:val="32"/>
          <w:lang w:eastAsia="zh-CN"/>
        </w:rPr>
        <w:t>效果</w:t>
      </w:r>
      <w:r>
        <w:rPr>
          <w:rFonts w:hint="eastAsia" w:ascii="仿宋_GB2312" w:hAnsi="仿宋_GB2312" w:eastAsia="仿宋_GB2312" w:cs="仿宋_GB2312"/>
          <w:sz w:val="32"/>
          <w:szCs w:val="32"/>
          <w:lang w:val="en-US" w:eastAsia="zh-CN"/>
        </w:rPr>
        <w:t>等在内的</w:t>
      </w:r>
      <w:r>
        <w:rPr>
          <w:rFonts w:hint="eastAsia" w:ascii="仿宋_GB2312" w:hAnsi="仿宋_GB2312" w:eastAsia="仿宋_GB2312" w:cs="仿宋_GB2312"/>
          <w:color w:val="auto"/>
          <w:kern w:val="2"/>
          <w:sz w:val="32"/>
          <w:szCs w:val="32"/>
          <w:lang w:val="en-US" w:eastAsia="zh-CN" w:bidi="ar-SA"/>
        </w:rPr>
        <w:t>转移机构绩效评价指标并组织绩效评价，根据评价结果并结合年度资金预算安排分档给予奖励，90分及以上（含</w:t>
      </w:r>
      <w:r>
        <w:rPr>
          <w:rFonts w:hint="default" w:ascii="仿宋_GB2312" w:hAnsi="仿宋_GB2312" w:eastAsia="仿宋_GB2312" w:cs="仿宋_GB2312"/>
          <w:color w:val="auto"/>
          <w:kern w:val="2"/>
          <w:sz w:val="32"/>
          <w:szCs w:val="32"/>
          <w:lang w:val="en-US" w:eastAsia="zh-CN" w:bidi="ar-SA"/>
        </w:rPr>
        <w:t>90</w:t>
      </w:r>
      <w:r>
        <w:rPr>
          <w:rFonts w:hint="eastAsia" w:ascii="仿宋_GB2312" w:hAnsi="仿宋_GB2312" w:eastAsia="仿宋_GB2312" w:cs="仿宋_GB2312"/>
          <w:color w:val="auto"/>
          <w:kern w:val="2"/>
          <w:sz w:val="32"/>
          <w:szCs w:val="32"/>
          <w:lang w:val="en-US" w:eastAsia="zh-CN" w:bidi="ar-SA"/>
        </w:rPr>
        <w:t>分）的奖励100万元，80分至90分（含</w:t>
      </w:r>
      <w:r>
        <w:rPr>
          <w:rFonts w:hint="default" w:ascii="仿宋_GB2312" w:hAnsi="仿宋_GB2312" w:eastAsia="仿宋_GB2312" w:cs="仿宋_GB2312"/>
          <w:color w:val="auto"/>
          <w:kern w:val="2"/>
          <w:sz w:val="32"/>
          <w:szCs w:val="32"/>
          <w:lang w:val="en-US" w:eastAsia="zh-CN" w:bidi="ar-SA"/>
        </w:rPr>
        <w:t>80</w:t>
      </w:r>
      <w:r>
        <w:rPr>
          <w:rFonts w:hint="eastAsia" w:ascii="仿宋_GB2312" w:hAnsi="仿宋_GB2312" w:eastAsia="仿宋_GB2312" w:cs="仿宋_GB2312"/>
          <w:color w:val="auto"/>
          <w:kern w:val="2"/>
          <w:sz w:val="32"/>
          <w:szCs w:val="32"/>
          <w:lang w:val="en-US" w:eastAsia="zh-CN" w:bidi="ar-SA"/>
        </w:rPr>
        <w:t>分）的奖励80万元，70分至80分（含</w:t>
      </w:r>
      <w:r>
        <w:rPr>
          <w:rFonts w:hint="default" w:ascii="仿宋_GB2312" w:hAnsi="仿宋_GB2312" w:eastAsia="仿宋_GB2312" w:cs="仿宋_GB2312"/>
          <w:color w:val="auto"/>
          <w:kern w:val="2"/>
          <w:sz w:val="32"/>
          <w:szCs w:val="32"/>
          <w:lang w:val="en-US" w:eastAsia="zh-CN" w:bidi="ar-SA"/>
        </w:rPr>
        <w:t>70</w:t>
      </w:r>
      <w:r>
        <w:rPr>
          <w:rFonts w:hint="eastAsia" w:ascii="仿宋_GB2312" w:hAnsi="仿宋_GB2312" w:eastAsia="仿宋_GB2312" w:cs="仿宋_GB2312"/>
          <w:color w:val="auto"/>
          <w:kern w:val="2"/>
          <w:sz w:val="32"/>
          <w:szCs w:val="32"/>
          <w:lang w:val="en-US" w:eastAsia="zh-CN" w:bidi="ar-SA"/>
        </w:rPr>
        <w:t>分）的奖励50万元。</w:t>
      </w:r>
    </w:p>
    <w:p w14:paraId="3AEA0C4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Times New Roman" w:hAnsi="Times New Roman" w:eastAsia="仿宋_GB2312"/>
          <w:sz w:val="32"/>
          <w:szCs w:val="32"/>
        </w:rPr>
      </w:pPr>
      <w:r>
        <w:rPr>
          <w:rFonts w:hint="eastAsia" w:ascii="黑体" w:eastAsia="黑体" w:cs="黑体"/>
          <w:bCs/>
          <w:sz w:val="32"/>
          <w:szCs w:val="32"/>
          <w:lang w:val="en-US" w:eastAsia="zh-CN"/>
        </w:rPr>
        <w:t>四、</w:t>
      </w:r>
      <w:r>
        <w:rPr>
          <w:rFonts w:hint="eastAsia" w:ascii="黑体" w:hAnsi="Calibri" w:eastAsia="黑体" w:cs="黑体"/>
          <w:bCs/>
          <w:color w:val="auto"/>
          <w:kern w:val="2"/>
          <w:sz w:val="32"/>
          <w:szCs w:val="32"/>
          <w:lang w:val="en-US" w:eastAsia="zh-CN" w:bidi="ar-SA"/>
        </w:rPr>
        <w:t>工作程序</w:t>
      </w:r>
    </w:p>
    <w:p w14:paraId="3963F949">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cs="Arial"/>
          <w:color w:val="000000"/>
          <w:sz w:val="32"/>
          <w:szCs w:val="32"/>
        </w:rPr>
      </w:pPr>
      <w:r>
        <w:rPr>
          <w:rFonts w:hint="eastAsia" w:ascii="仿宋_GB2312" w:eastAsia="仿宋_GB2312" w:cs="Arial"/>
          <w:color w:val="000000"/>
          <w:sz w:val="32"/>
          <w:szCs w:val="32"/>
        </w:rPr>
        <w:t>（</w:t>
      </w:r>
      <w:r>
        <w:rPr>
          <w:rFonts w:hint="eastAsia" w:ascii="仿宋_GB2312" w:eastAsia="仿宋_GB2312" w:cs="Arial"/>
          <w:color w:val="000000"/>
          <w:sz w:val="32"/>
          <w:szCs w:val="32"/>
          <w:lang w:val="en-US" w:eastAsia="zh-CN"/>
        </w:rPr>
        <w:t>一</w:t>
      </w:r>
      <w:r>
        <w:rPr>
          <w:rFonts w:hint="eastAsia" w:ascii="仿宋_GB2312" w:eastAsia="仿宋_GB2312" w:cs="Arial"/>
          <w:color w:val="000000"/>
          <w:sz w:val="32"/>
          <w:szCs w:val="32"/>
        </w:rPr>
        <w:t>）</w:t>
      </w:r>
      <w:r>
        <w:rPr>
          <w:rFonts w:hint="eastAsia" w:ascii="仿宋_GB2312" w:eastAsia="仿宋_GB2312" w:cs="Arial"/>
          <w:color w:val="000000"/>
          <w:sz w:val="32"/>
          <w:szCs w:val="32"/>
          <w:lang w:val="en-US" w:eastAsia="zh-CN"/>
        </w:rPr>
        <w:t>单位</w:t>
      </w:r>
      <w:r>
        <w:rPr>
          <w:rFonts w:hint="eastAsia" w:ascii="仿宋_GB2312" w:eastAsia="仿宋_GB2312" w:cs="Arial"/>
          <w:color w:val="000000"/>
          <w:sz w:val="32"/>
          <w:szCs w:val="32"/>
        </w:rPr>
        <w:t>申报。省科技厅每年公开发布</w:t>
      </w:r>
      <w:r>
        <w:rPr>
          <w:rFonts w:hint="eastAsia" w:ascii="仿宋_GB2312" w:eastAsia="仿宋_GB2312" w:cs="Arial"/>
          <w:color w:val="000000"/>
          <w:sz w:val="32"/>
          <w:szCs w:val="32"/>
          <w:lang w:val="en-US" w:eastAsia="zh-CN"/>
        </w:rPr>
        <w:t>技术转移机构奖励</w:t>
      </w:r>
      <w:r>
        <w:rPr>
          <w:rFonts w:hint="eastAsia" w:ascii="仿宋_GB2312" w:eastAsia="仿宋_GB2312" w:cs="Arial"/>
          <w:color w:val="000000"/>
          <w:sz w:val="32"/>
          <w:szCs w:val="32"/>
        </w:rPr>
        <w:t>项目申报通知。相关单位按照本实施细则和通知要求</w:t>
      </w:r>
      <w:r>
        <w:rPr>
          <w:rFonts w:hint="eastAsia" w:ascii="仿宋_GB2312" w:eastAsia="仿宋_GB2312" w:cs="Arial"/>
          <w:color w:val="000000"/>
          <w:sz w:val="32"/>
          <w:szCs w:val="32"/>
          <w:lang w:val="en-US" w:eastAsia="zh-CN"/>
        </w:rPr>
        <w:t>组织</w:t>
      </w:r>
      <w:r>
        <w:rPr>
          <w:rFonts w:hint="eastAsia" w:ascii="仿宋_GB2312" w:eastAsia="仿宋_GB2312" w:cs="Arial"/>
          <w:color w:val="000000"/>
          <w:sz w:val="32"/>
          <w:szCs w:val="32"/>
        </w:rPr>
        <w:t>申报材料，报送所属市（地）科技主管部门。</w:t>
      </w:r>
    </w:p>
    <w:p w14:paraId="257547A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cs="Arial"/>
          <w:color w:val="000000"/>
          <w:sz w:val="32"/>
          <w:szCs w:val="32"/>
        </w:rPr>
      </w:pPr>
      <w:r>
        <w:rPr>
          <w:rFonts w:hint="eastAsia" w:ascii="仿宋_GB2312" w:eastAsia="仿宋_GB2312" w:cs="Arial"/>
          <w:color w:val="000000"/>
          <w:sz w:val="32"/>
          <w:szCs w:val="32"/>
        </w:rPr>
        <w:t>（</w:t>
      </w:r>
      <w:r>
        <w:rPr>
          <w:rFonts w:hint="eastAsia" w:ascii="仿宋_GB2312" w:eastAsia="仿宋_GB2312" w:cs="Arial"/>
          <w:color w:val="000000"/>
          <w:sz w:val="32"/>
          <w:szCs w:val="32"/>
          <w:lang w:val="en-US" w:eastAsia="zh-CN"/>
        </w:rPr>
        <w:t>二</w:t>
      </w:r>
      <w:r>
        <w:rPr>
          <w:rFonts w:hint="eastAsia" w:ascii="仿宋_GB2312" w:eastAsia="仿宋_GB2312" w:cs="Arial"/>
          <w:color w:val="000000"/>
          <w:sz w:val="32"/>
          <w:szCs w:val="32"/>
        </w:rPr>
        <w:t>）市（地）</w:t>
      </w:r>
      <w:r>
        <w:rPr>
          <w:rFonts w:hint="eastAsia" w:ascii="仿宋_GB2312" w:eastAsia="仿宋_GB2312" w:cs="Arial"/>
          <w:color w:val="000000"/>
          <w:sz w:val="32"/>
          <w:szCs w:val="32"/>
          <w:lang w:val="en-US" w:eastAsia="zh-CN"/>
        </w:rPr>
        <w:t>审核</w:t>
      </w:r>
      <w:r>
        <w:rPr>
          <w:rFonts w:hint="eastAsia" w:ascii="仿宋_GB2312" w:eastAsia="仿宋_GB2312" w:cs="Arial"/>
          <w:color w:val="000000"/>
          <w:sz w:val="32"/>
          <w:szCs w:val="32"/>
        </w:rPr>
        <w:t>推荐。各市（地）科技主管部门对本地申报的</w:t>
      </w:r>
      <w:r>
        <w:rPr>
          <w:rFonts w:hint="eastAsia" w:ascii="仿宋_GB2312" w:eastAsia="仿宋_GB2312" w:cs="Arial"/>
          <w:color w:val="000000"/>
          <w:sz w:val="32"/>
          <w:szCs w:val="32"/>
          <w:lang w:val="en-US" w:eastAsia="zh-CN"/>
        </w:rPr>
        <w:t>材料</w:t>
      </w:r>
      <w:r>
        <w:rPr>
          <w:rFonts w:hint="eastAsia" w:ascii="仿宋_GB2312" w:eastAsia="仿宋_GB2312" w:cs="Arial"/>
          <w:color w:val="000000"/>
          <w:sz w:val="32"/>
          <w:szCs w:val="32"/>
        </w:rPr>
        <w:t>进行</w:t>
      </w:r>
      <w:r>
        <w:rPr>
          <w:rFonts w:hint="eastAsia" w:ascii="仿宋_GB2312" w:eastAsia="仿宋_GB2312" w:cs="Arial"/>
          <w:color w:val="000000"/>
          <w:sz w:val="32"/>
          <w:szCs w:val="32"/>
          <w:lang w:val="en-US" w:eastAsia="zh-CN"/>
        </w:rPr>
        <w:t>审核</w:t>
      </w:r>
      <w:r>
        <w:rPr>
          <w:rFonts w:ascii="仿宋_GB2312" w:eastAsia="仿宋_GB2312" w:cs="Arial"/>
          <w:color w:val="000000"/>
          <w:sz w:val="32"/>
          <w:szCs w:val="32"/>
          <w:lang w:val="en-US" w:eastAsia="zh-CN"/>
        </w:rPr>
        <w:t>、</w:t>
      </w:r>
      <w:r>
        <w:rPr>
          <w:rFonts w:hint="eastAsia" w:ascii="仿宋_GB2312" w:eastAsia="仿宋_GB2312" w:cs="Arial"/>
          <w:color w:val="000000"/>
          <w:sz w:val="32"/>
          <w:szCs w:val="32"/>
        </w:rPr>
        <w:t>汇总</w:t>
      </w:r>
      <w:r>
        <w:rPr>
          <w:rFonts w:hint="eastAsia" w:ascii="仿宋_GB2312" w:eastAsia="仿宋_GB2312" w:cs="Arial"/>
          <w:color w:val="000000"/>
          <w:sz w:val="32"/>
          <w:szCs w:val="32"/>
          <w:lang w:val="en-US" w:eastAsia="zh-CN"/>
        </w:rPr>
        <w:t>、</w:t>
      </w:r>
      <w:r>
        <w:rPr>
          <w:rFonts w:hint="eastAsia" w:ascii="仿宋_GB2312" w:eastAsia="仿宋_GB2312" w:cs="Arial"/>
          <w:color w:val="000000"/>
          <w:sz w:val="32"/>
          <w:szCs w:val="32"/>
        </w:rPr>
        <w:t>推荐并报送省科技厅。</w:t>
      </w:r>
    </w:p>
    <w:p w14:paraId="1F12EA2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eastAsia="仿宋_GB2312" w:cs="Arial"/>
          <w:color w:val="000000"/>
          <w:sz w:val="32"/>
          <w:szCs w:val="32"/>
          <w:lang w:val="en-US" w:eastAsia="zh-CN"/>
        </w:rPr>
      </w:pPr>
      <w:r>
        <w:rPr>
          <w:rFonts w:hint="eastAsia" w:ascii="仿宋_GB2312" w:eastAsia="仿宋_GB2312" w:cs="Arial"/>
          <w:color w:val="000000"/>
          <w:sz w:val="32"/>
          <w:szCs w:val="32"/>
        </w:rPr>
        <w:t>（</w:t>
      </w:r>
      <w:r>
        <w:rPr>
          <w:rFonts w:hint="eastAsia" w:ascii="仿宋_GB2312" w:eastAsia="仿宋_GB2312" w:cs="Arial"/>
          <w:color w:val="000000"/>
          <w:sz w:val="32"/>
          <w:szCs w:val="32"/>
          <w:lang w:val="en-US" w:eastAsia="zh-CN"/>
        </w:rPr>
        <w:t>三</w:t>
      </w:r>
      <w:r>
        <w:rPr>
          <w:rFonts w:hint="eastAsia" w:ascii="仿宋_GB2312" w:eastAsia="仿宋_GB2312" w:cs="Arial"/>
          <w:color w:val="000000"/>
          <w:sz w:val="32"/>
          <w:szCs w:val="32"/>
        </w:rPr>
        <w:t>）</w:t>
      </w:r>
      <w:r>
        <w:rPr>
          <w:rFonts w:hint="eastAsia" w:ascii="仿宋_GB2312" w:eastAsia="仿宋_GB2312" w:cs="Arial"/>
          <w:color w:val="000000"/>
          <w:sz w:val="32"/>
          <w:szCs w:val="32"/>
          <w:lang w:val="en-US" w:eastAsia="zh-CN"/>
        </w:rPr>
        <w:t>评价</w:t>
      </w:r>
      <w:r>
        <w:rPr>
          <w:rFonts w:hint="eastAsia" w:ascii="仿宋_GB2312" w:eastAsia="仿宋_GB2312" w:cs="Arial"/>
          <w:color w:val="000000"/>
          <w:sz w:val="32"/>
          <w:szCs w:val="32"/>
        </w:rPr>
        <w:t>公示。省科技厅</w:t>
      </w:r>
      <w:r>
        <w:rPr>
          <w:rFonts w:hint="eastAsia" w:ascii="仿宋_GB2312" w:eastAsia="仿宋_GB2312" w:cs="Arial"/>
          <w:color w:val="000000"/>
          <w:sz w:val="32"/>
          <w:szCs w:val="32"/>
          <w:lang w:val="en-US" w:eastAsia="zh-CN"/>
        </w:rPr>
        <w:t>组织有关单位对申报材料的完整性进行审核，并对</w:t>
      </w:r>
      <w:r>
        <w:rPr>
          <w:rFonts w:hint="eastAsia" w:ascii="仿宋_GB2312" w:eastAsia="仿宋_GB2312" w:cs="Arial"/>
          <w:color w:val="000000"/>
          <w:sz w:val="32"/>
          <w:szCs w:val="32"/>
        </w:rPr>
        <w:t>技术</w:t>
      </w:r>
      <w:r>
        <w:rPr>
          <w:rFonts w:hint="eastAsia" w:ascii="仿宋_GB2312" w:eastAsia="仿宋_GB2312" w:cs="Arial"/>
          <w:color w:val="000000"/>
          <w:sz w:val="32"/>
          <w:szCs w:val="32"/>
          <w:lang w:eastAsia="zh-CN"/>
        </w:rPr>
        <w:t>交易数量及成交额</w:t>
      </w:r>
      <w:r>
        <w:rPr>
          <w:rFonts w:hint="eastAsia" w:ascii="仿宋_GB2312" w:eastAsia="仿宋_GB2312" w:cs="Arial"/>
          <w:color w:val="000000"/>
          <w:sz w:val="32"/>
          <w:szCs w:val="32"/>
        </w:rPr>
        <w:t>、促成成果落地转化</w:t>
      </w:r>
      <w:r>
        <w:rPr>
          <w:rFonts w:hint="eastAsia" w:ascii="仿宋_GB2312" w:eastAsia="仿宋_GB2312" w:cs="Arial"/>
          <w:color w:val="000000"/>
          <w:sz w:val="32"/>
          <w:szCs w:val="32"/>
          <w:lang w:eastAsia="zh-CN"/>
        </w:rPr>
        <w:t>效果</w:t>
      </w:r>
      <w:r>
        <w:rPr>
          <w:rFonts w:hint="eastAsia" w:ascii="仿宋_GB2312" w:eastAsia="仿宋_GB2312" w:cs="Arial"/>
          <w:color w:val="000000"/>
          <w:sz w:val="32"/>
          <w:szCs w:val="32"/>
          <w:lang w:val="en-US" w:eastAsia="zh-CN"/>
        </w:rPr>
        <w:t>等内容进行评价，根据评价结果并结合年度资金预算安排，履行厅内会议审议程序后，确定拟奖补名单和资金分配意见。拟奖补名单</w:t>
      </w:r>
      <w:r>
        <w:rPr>
          <w:rFonts w:hint="eastAsia" w:ascii="仿宋_GB2312" w:eastAsia="仿宋_GB2312" w:cs="Arial"/>
          <w:color w:val="000000"/>
          <w:sz w:val="32"/>
          <w:szCs w:val="32"/>
        </w:rPr>
        <w:t>在省科技厅门户网站公示5个工作日</w:t>
      </w:r>
      <w:r>
        <w:rPr>
          <w:rFonts w:hint="eastAsia" w:ascii="仿宋_GB2312" w:eastAsia="仿宋_GB2312" w:cs="Arial"/>
          <w:color w:val="000000"/>
          <w:sz w:val="32"/>
          <w:szCs w:val="32"/>
          <w:lang w:eastAsia="zh-CN"/>
        </w:rPr>
        <w:t>，</w:t>
      </w:r>
      <w:r>
        <w:rPr>
          <w:rFonts w:hint="eastAsia" w:ascii="仿宋_GB2312" w:eastAsia="仿宋_GB2312" w:cs="Arial"/>
          <w:color w:val="000000"/>
          <w:sz w:val="32"/>
          <w:szCs w:val="32"/>
          <w:lang w:val="en-US" w:eastAsia="zh-CN"/>
        </w:rPr>
        <w:t>确因需要可按规定延长。公示期间有异议的，省科技厅应及时核实处理。</w:t>
      </w:r>
    </w:p>
    <w:p w14:paraId="60D3619E">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eastAsia="仿宋_GB2312" w:cs="Arial"/>
          <w:color w:val="000000"/>
          <w:sz w:val="32"/>
          <w:szCs w:val="32"/>
        </w:rPr>
      </w:pPr>
      <w:r>
        <w:rPr>
          <w:rFonts w:hint="eastAsia" w:ascii="仿宋_GB2312" w:eastAsia="仿宋_GB2312" w:cs="Arial"/>
          <w:color w:val="000000"/>
          <w:sz w:val="32"/>
          <w:szCs w:val="32"/>
        </w:rPr>
        <w:t>（</w:t>
      </w:r>
      <w:r>
        <w:rPr>
          <w:rFonts w:hint="eastAsia" w:ascii="仿宋_GB2312" w:eastAsia="仿宋_GB2312" w:cs="Arial"/>
          <w:color w:val="000000"/>
          <w:sz w:val="32"/>
          <w:szCs w:val="32"/>
          <w:lang w:val="en-US" w:eastAsia="zh-CN"/>
        </w:rPr>
        <w:t>四</w:t>
      </w:r>
      <w:r>
        <w:rPr>
          <w:rFonts w:hint="eastAsia" w:ascii="仿宋_GB2312" w:eastAsia="仿宋_GB2312" w:cs="Arial"/>
          <w:color w:val="000000"/>
          <w:sz w:val="32"/>
          <w:szCs w:val="32"/>
        </w:rPr>
        <w:t>）下达资金。公示期满无异议后，省科技会同省财政厅向省政府</w:t>
      </w:r>
      <w:r>
        <w:rPr>
          <w:rFonts w:hint="eastAsia" w:ascii="仿宋_GB2312" w:eastAsia="仿宋_GB2312" w:cs="Arial"/>
          <w:color w:val="000000"/>
          <w:sz w:val="32"/>
          <w:szCs w:val="32"/>
          <w:lang w:eastAsia="zh-CN"/>
        </w:rPr>
        <w:t>联合</w:t>
      </w:r>
      <w:r>
        <w:rPr>
          <w:rFonts w:hint="eastAsia" w:ascii="仿宋_GB2312" w:eastAsia="仿宋_GB2312" w:cs="Arial"/>
          <w:color w:val="000000"/>
          <w:sz w:val="32"/>
          <w:szCs w:val="32"/>
        </w:rPr>
        <w:t>呈报资金请示</w:t>
      </w:r>
      <w:r>
        <w:rPr>
          <w:rFonts w:hint="eastAsia" w:ascii="仿宋_GB2312" w:eastAsia="仿宋_GB2312" w:cs="Arial"/>
          <w:color w:val="000000"/>
          <w:sz w:val="32"/>
          <w:szCs w:val="32"/>
          <w:lang w:eastAsia="zh-CN"/>
        </w:rPr>
        <w:t>，</w:t>
      </w:r>
      <w:r>
        <w:rPr>
          <w:rFonts w:hint="eastAsia" w:ascii="仿宋_GB2312" w:eastAsia="仿宋_GB2312" w:cs="Arial"/>
          <w:color w:val="000000"/>
          <w:sz w:val="32"/>
          <w:szCs w:val="32"/>
          <w:lang w:val="en-US" w:eastAsia="zh-CN"/>
        </w:rPr>
        <w:t>按规定履行资金拨付程序</w:t>
      </w:r>
      <w:r>
        <w:rPr>
          <w:rFonts w:hint="eastAsia" w:ascii="仿宋_GB2312" w:eastAsia="仿宋_GB2312" w:cs="Arial"/>
          <w:color w:val="000000"/>
          <w:sz w:val="32"/>
          <w:szCs w:val="32"/>
        </w:rPr>
        <w:t>。</w:t>
      </w:r>
    </w:p>
    <w:p w14:paraId="63FDE358">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黑体" w:eastAsia="黑体" w:cs="黑体"/>
          <w:bCs/>
          <w:sz w:val="32"/>
          <w:szCs w:val="32"/>
          <w:lang w:val="en-US" w:eastAsia="zh-CN"/>
        </w:rPr>
      </w:pPr>
      <w:r>
        <w:rPr>
          <w:rFonts w:hint="eastAsia" w:ascii="黑体" w:eastAsia="黑体" w:cs="黑体"/>
          <w:bCs/>
          <w:sz w:val="32"/>
          <w:szCs w:val="32"/>
          <w:lang w:val="en-US" w:eastAsia="zh-CN"/>
        </w:rPr>
        <w:t>五、监督管理</w:t>
      </w:r>
    </w:p>
    <w:p w14:paraId="30DDBD57">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default" w:ascii="仿宋_GB2312" w:eastAsia="仿宋_GB2312" w:cs="Arial"/>
          <w:color w:val="000000"/>
          <w:sz w:val="32"/>
          <w:szCs w:val="32"/>
          <w:lang w:val="en-US" w:eastAsia="zh-CN"/>
        </w:rPr>
      </w:pPr>
      <w:r>
        <w:rPr>
          <w:rFonts w:hint="eastAsia" w:ascii="仿宋_GB2312" w:eastAsia="仿宋_GB2312" w:cs="Arial"/>
          <w:color w:val="000000"/>
          <w:sz w:val="32"/>
          <w:szCs w:val="32"/>
          <w:lang w:val="en-US" w:eastAsia="zh-CN"/>
        </w:rPr>
        <w:t>监督管理及绩效管理具体要求详见《黑龙江省科技成果转移转化服务体系奖励政策实施细则》第五条、第六条。</w:t>
      </w:r>
    </w:p>
    <w:p w14:paraId="6B4B6698">
      <w:pPr>
        <w:keepNext w:val="0"/>
        <w:keepLines w:val="0"/>
        <w:pageBreakBefore w:val="0"/>
        <w:widowControl w:val="0"/>
        <w:kinsoku/>
        <w:wordWrap/>
        <w:overflowPunct/>
        <w:topLinePunct w:val="0"/>
        <w:autoSpaceDE/>
        <w:autoSpaceDN/>
        <w:bidi w:val="0"/>
        <w:adjustRightInd/>
        <w:snapToGrid/>
        <w:spacing w:line="560" w:lineRule="exact"/>
        <w:ind w:firstLine="420" w:firstLineChars="200"/>
      </w:pPr>
    </w:p>
    <w:p w14:paraId="2EB6DABD"/>
    <w:p w14:paraId="131CE86C"/>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9028D">
    <w:pPr>
      <w:pStyle w:val="4"/>
      <w:framePr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8</w:t>
    </w:r>
    <w:r>
      <w:rPr>
        <w:rStyle w:val="10"/>
      </w:rPr>
      <w:fldChar w:fldCharType="end"/>
    </w:r>
  </w:p>
  <w:p w14:paraId="7A80CCE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5FEF7">
    <w:pPr>
      <w:pStyle w:val="4"/>
      <w:framePr w:wrap="around" w:vAnchor="text" w:hAnchor="margin" w:xAlign="center" w:y="1"/>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14:paraId="7ED54EE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612D1A6F"/>
    <w:rsid w:val="2B836B74"/>
    <w:rsid w:val="612D1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cs="Times New Roman"/>
    </w:rPr>
  </w:style>
  <w:style w:type="paragraph" w:styleId="3">
    <w:name w:val="Balloon Text"/>
    <w:basedOn w:val="1"/>
    <w:qFormat/>
    <w:uiPriority w:val="0"/>
    <w:rPr>
      <w:rFonts w:cs="Times New Roman"/>
      <w:sz w:val="18"/>
      <w:szCs w:val="18"/>
    </w:rPr>
  </w:style>
  <w:style w:type="paragraph" w:styleId="4">
    <w:name w:val="footer"/>
    <w:basedOn w:val="1"/>
    <w:qFormat/>
    <w:uiPriority w:val="0"/>
    <w:pPr>
      <w:tabs>
        <w:tab w:val="center" w:pos="4153"/>
        <w:tab w:val="right" w:pos="8307"/>
      </w:tabs>
      <w:snapToGrid w:val="0"/>
      <w:jc w:val="left"/>
    </w:pPr>
    <w:rPr>
      <w:sz w:val="18"/>
    </w:rPr>
  </w:style>
  <w:style w:type="paragraph" w:styleId="5">
    <w:name w:val="Normal (Web)"/>
    <w:basedOn w:val="1"/>
    <w:qFormat/>
    <w:uiPriority w:val="0"/>
    <w:rPr>
      <w:rFonts w:cs="Times New Roman"/>
      <w:color w:val="FF0000"/>
      <w:sz w:val="24"/>
    </w:rPr>
  </w:style>
  <w:style w:type="paragraph" w:styleId="6">
    <w:name w:val="Title"/>
    <w:basedOn w:val="1"/>
    <w:qFormat/>
    <w:uiPriority w:val="0"/>
    <w:pPr>
      <w:spacing w:before="240" w:after="60"/>
      <w:jc w:val="center"/>
      <w:outlineLvl w:val="0"/>
    </w:pPr>
    <w:rPr>
      <w:rFonts w:ascii="Arial" w:hAnsi="Arial"/>
      <w:b/>
      <w:sz w:val="32"/>
    </w:rPr>
  </w:style>
  <w:style w:type="character" w:styleId="9">
    <w:name w:val="Strong"/>
    <w:basedOn w:val="8"/>
    <w:qFormat/>
    <w:uiPriority w:val="0"/>
    <w:rPr>
      <w:rFonts w:ascii="Calibri" w:hAnsi="Calibri" w:eastAsia="宋体" w:cs="Times New Roman"/>
      <w:b/>
      <w:kern w:val="2"/>
      <w:sz w:val="21"/>
      <w:szCs w:val="24"/>
      <w:lang w:val="en-US" w:eastAsia="zh-CN" w:bidi="ar-SA"/>
    </w:rPr>
  </w:style>
  <w:style w:type="character" w:styleId="10">
    <w:name w:val="page number"/>
    <w:basedOn w:val="8"/>
    <w:qFormat/>
    <w:uiPriority w:val="0"/>
  </w:style>
  <w:style w:type="paragraph" w:customStyle="1" w:styleId="11">
    <w:name w:val="正文 New New New New New New New New New New New New New New New New New New New New New New New New New"/>
    <w:qFormat/>
    <w:uiPriority w:val="0"/>
    <w:pPr>
      <w:widowControl w:val="0"/>
      <w:jc w:val="both"/>
    </w:pPr>
    <w:rPr>
      <w:rFonts w:ascii="Calibri"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4595</Words>
  <Characters>4660</Characters>
  <Lines>0</Lines>
  <Paragraphs>0</Paragraphs>
  <TotalTime>1</TotalTime>
  <ScaleCrop>false</ScaleCrop>
  <LinksUpToDate>false</LinksUpToDate>
  <CharactersWithSpaces>4722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2024-06-27T06:14:00Z</dcterms:created>
  <dc:creator>hallyyue</dc:creator>
  <cp:lastModifiedBy>GS</cp:lastModifiedBy>
  <dcterms:modified xsi:type="dcterms:W3CDTF">2024-07-05T02:48:15Z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11C8C6E24F1842CE86ED303DCF888015_11</vt:lpwstr>
  </property>
</Properties>
</file>